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7164BCED" w:rsidR="00CC6E91" w:rsidRPr="00CC6E91" w:rsidRDefault="00CC6E91" w:rsidP="00CC6E91">
      <w:pPr>
        <w:jc w:val="right"/>
      </w:pPr>
      <w:r w:rsidRPr="00CC6E91">
        <w:t>Pielikums Nr.</w:t>
      </w:r>
      <w:r w:rsidR="00B70709">
        <w:t> 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7DF0515D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</w:t>
      </w:r>
      <w:r w:rsidR="00682C93">
        <w:rPr>
          <w:b/>
        </w:rPr>
        <w:t>4</w:t>
      </w:r>
      <w:r w:rsidRPr="00652CD7">
        <w:rPr>
          <w:b/>
        </w:rPr>
        <w:t xml:space="preserve">. GADA </w:t>
      </w:r>
      <w:r w:rsidR="004754EC">
        <w:rPr>
          <w:b/>
        </w:rPr>
        <w:t>19</w:t>
      </w:r>
      <w:r w:rsidRPr="00652CD7">
        <w:rPr>
          <w:b/>
        </w:rPr>
        <w:t>. </w:t>
      </w:r>
      <w:r w:rsidR="004754EC">
        <w:rPr>
          <w:b/>
        </w:rPr>
        <w:t>DECEMBRA</w:t>
      </w:r>
    </w:p>
    <w:p w14:paraId="71D38C33" w14:textId="1EBEC2C9" w:rsidR="0072016D" w:rsidRPr="00652CD7" w:rsidRDefault="00450896" w:rsidP="0072016D">
      <w:pPr>
        <w:jc w:val="center"/>
        <w:rPr>
          <w:b/>
        </w:rPr>
      </w:pPr>
      <w:r>
        <w:rPr>
          <w:b/>
        </w:rPr>
        <w:t>SAISTOŠO NOTEIKUMU NR.24-38</w:t>
      </w:r>
      <w:r w:rsidR="0072016D" w:rsidRPr="00652CD7">
        <w:rPr>
          <w:b/>
        </w:rPr>
        <w:t xml:space="preserve"> </w:t>
      </w:r>
    </w:p>
    <w:p w14:paraId="5BB6745D" w14:textId="15213300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“GROZĪJUMI JELGAVAS VALSTSPILSĒTAS PAŠVALDĪBAS 202</w:t>
      </w:r>
      <w:r w:rsidR="00682C93">
        <w:rPr>
          <w:b/>
        </w:rPr>
        <w:t>4</w:t>
      </w:r>
      <w:r w:rsidRPr="00652CD7">
        <w:rPr>
          <w:b/>
        </w:rPr>
        <w:t>. GADA 2</w:t>
      </w:r>
      <w:r w:rsidR="00682C93">
        <w:rPr>
          <w:b/>
        </w:rPr>
        <w:t>0</w:t>
      </w:r>
      <w:r w:rsidRPr="00652CD7">
        <w:rPr>
          <w:b/>
        </w:rPr>
        <w:t xml:space="preserve">. FEBRUĀRA </w:t>
      </w:r>
      <w:r w:rsidR="007326E7">
        <w:rPr>
          <w:b/>
        </w:rPr>
        <w:t>SAISTOŠAJOS NOTEIKUMOS NR.</w:t>
      </w:r>
      <w:r w:rsidRPr="00652CD7">
        <w:rPr>
          <w:b/>
        </w:rPr>
        <w:t>2</w:t>
      </w:r>
      <w:r w:rsidR="00682C93">
        <w:rPr>
          <w:b/>
        </w:rPr>
        <w:t>4</w:t>
      </w:r>
      <w:r w:rsidRPr="00652CD7">
        <w:rPr>
          <w:b/>
        </w:rPr>
        <w:t>-</w:t>
      </w:r>
      <w:r w:rsidR="00682C93">
        <w:rPr>
          <w:b/>
        </w:rPr>
        <w:t>1</w:t>
      </w:r>
    </w:p>
    <w:p w14:paraId="019B0D19" w14:textId="0109A172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</w:t>
      </w:r>
      <w:r w:rsidR="00682C93">
        <w:rPr>
          <w:b/>
        </w:rPr>
        <w:t>4</w:t>
      </w:r>
      <w:r w:rsidRPr="00652CD7">
        <w:rPr>
          <w:b/>
        </w:rPr>
        <w:t>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31F1D0A3" w:rsidR="0072016D" w:rsidRPr="00652CD7" w:rsidRDefault="00DA71EC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 w:rsidR="00682C93">
        <w:rPr>
          <w:szCs w:val="22"/>
        </w:rPr>
        <w:t>4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</w:t>
      </w:r>
      <w:r w:rsidR="004754EC">
        <w:rPr>
          <w:szCs w:val="22"/>
        </w:rPr>
        <w:t>decembri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>izdevumos</w:t>
      </w:r>
      <w:r w:rsidR="009D7E88">
        <w:rPr>
          <w:szCs w:val="22"/>
        </w:rPr>
        <w:t>,</w:t>
      </w:r>
      <w:bookmarkStart w:id="0" w:name="_GoBack"/>
      <w:bookmarkEnd w:id="0"/>
      <w:r w:rsidRPr="002707CD">
        <w:rPr>
          <w:szCs w:val="22"/>
        </w:rPr>
        <w:t xml:space="preserve"> </w:t>
      </w:r>
      <w:r w:rsidR="00383C4F" w:rsidRPr="00652CD7">
        <w:rPr>
          <w:szCs w:val="22"/>
        </w:rPr>
        <w:t>sagatavo</w:t>
      </w:r>
      <w:r>
        <w:rPr>
          <w:szCs w:val="22"/>
        </w:rPr>
        <w:t>ti</w:t>
      </w:r>
      <w:r w:rsidR="0072016D" w:rsidRPr="00652CD7">
        <w:rPr>
          <w:szCs w:val="22"/>
        </w:rPr>
        <w:t xml:space="preserve"> 202</w:t>
      </w:r>
      <w:r w:rsidR="00CA142E">
        <w:rPr>
          <w:szCs w:val="22"/>
        </w:rPr>
        <w:t>4</w:t>
      </w:r>
      <w:r w:rsidR="0072016D" w:rsidRPr="00652CD7">
        <w:rPr>
          <w:szCs w:val="22"/>
        </w:rPr>
        <w:t>. gada budžeta grozījum</w:t>
      </w:r>
      <w:r>
        <w:rPr>
          <w:szCs w:val="22"/>
        </w:rPr>
        <w:t>i</w:t>
      </w:r>
      <w:r w:rsidR="0072016D" w:rsidRPr="00652CD7">
        <w:rPr>
          <w:szCs w:val="22"/>
        </w:rPr>
        <w:t>:</w:t>
      </w:r>
    </w:p>
    <w:p w14:paraId="2A08451E" w14:textId="02D078F4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pamatbudžeta</w:t>
      </w:r>
      <w:r w:rsidR="007C047C">
        <w:t xml:space="preserve"> ieņēmumus</w:t>
      </w:r>
      <w:r w:rsidR="000F7FB5">
        <w:t xml:space="preserve">, </w:t>
      </w:r>
      <w:proofErr w:type="spellStart"/>
      <w:r w:rsidR="00383C4F" w:rsidRPr="00652CD7">
        <w:t>transfertu</w:t>
      </w:r>
      <w:proofErr w:type="spellEnd"/>
      <w:r w:rsidR="00383C4F" w:rsidRPr="00652CD7">
        <w:t xml:space="preserve"> </w:t>
      </w:r>
      <w:r w:rsidRPr="00652CD7">
        <w:t>ieņēmum</w:t>
      </w:r>
      <w:r w:rsidR="00383C4F" w:rsidRPr="00652CD7">
        <w:t>us</w:t>
      </w:r>
      <w:r w:rsidR="00170DCD">
        <w:t xml:space="preserve"> un </w:t>
      </w:r>
      <w:r w:rsidRPr="00652CD7">
        <w:t>budžeta iestāžu ieņēmum</w:t>
      </w:r>
      <w:r w:rsidR="00383C4F" w:rsidRPr="00652CD7">
        <w:t>us</w:t>
      </w:r>
      <w:r w:rsidR="00170DCD">
        <w:t>,</w:t>
      </w:r>
    </w:p>
    <w:p w14:paraId="1A505FED" w14:textId="500CE409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 un ekonomiskās klasifikācijas kodiem</w:t>
      </w:r>
      <w:r w:rsidR="00EE4308">
        <w:t>.</w:t>
      </w: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A05032" w:rsidRDefault="0072016D" w:rsidP="001B2BC9">
      <w:pPr>
        <w:pStyle w:val="ListParagraph"/>
        <w:numPr>
          <w:ilvl w:val="0"/>
          <w:numId w:val="4"/>
        </w:numPr>
        <w:jc w:val="center"/>
        <w:rPr>
          <w:b/>
        </w:rPr>
      </w:pPr>
      <w:r w:rsidRPr="00A05032">
        <w:rPr>
          <w:b/>
        </w:rPr>
        <w:t>PAMATBUDŽETS</w:t>
      </w:r>
    </w:p>
    <w:p w14:paraId="605777A9" w14:textId="77777777" w:rsidR="0072016D" w:rsidRPr="00A05032" w:rsidRDefault="0072016D" w:rsidP="0072016D">
      <w:pPr>
        <w:jc w:val="both"/>
      </w:pPr>
    </w:p>
    <w:p w14:paraId="1696683D" w14:textId="77777777" w:rsidR="0072016D" w:rsidRPr="00A05032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05032">
        <w:rPr>
          <w:b/>
        </w:rPr>
        <w:t>IEŅĒMUMI</w:t>
      </w:r>
    </w:p>
    <w:p w14:paraId="23299779" w14:textId="540534F9" w:rsidR="0072016D" w:rsidRPr="00A05032" w:rsidRDefault="0072016D" w:rsidP="0072016D">
      <w:pPr>
        <w:ind w:firstLine="709"/>
        <w:jc w:val="both"/>
      </w:pPr>
      <w:r w:rsidRPr="00A05032">
        <w:t xml:space="preserve">Pašvaldības ieņēmumu prognoze kopumā </w:t>
      </w:r>
      <w:r w:rsidR="00191983">
        <w:t>palielināta</w:t>
      </w:r>
      <w:r w:rsidRPr="00A05032">
        <w:t xml:space="preserve"> par</w:t>
      </w:r>
      <w:r w:rsidRPr="00A05032">
        <w:rPr>
          <w:b/>
        </w:rPr>
        <w:t xml:space="preserve"> </w:t>
      </w:r>
      <w:r w:rsidR="000F7FB5">
        <w:rPr>
          <w:b/>
          <w:szCs w:val="22"/>
        </w:rPr>
        <w:t>83 170</w:t>
      </w:r>
      <w:r w:rsidR="001D42FF" w:rsidRPr="00A05032">
        <w:rPr>
          <w:b/>
        </w:rPr>
        <w:t xml:space="preserve"> </w:t>
      </w:r>
      <w:proofErr w:type="spellStart"/>
      <w:r w:rsidRPr="00A05032">
        <w:rPr>
          <w:b/>
          <w:i/>
        </w:rPr>
        <w:t>euro</w:t>
      </w:r>
      <w:proofErr w:type="spellEnd"/>
      <w:r w:rsidRPr="00A05032">
        <w:t xml:space="preserve">, t.sk. </w:t>
      </w:r>
      <w:r w:rsidR="000F7FB5">
        <w:t xml:space="preserve">palielināti </w:t>
      </w:r>
      <w:proofErr w:type="spellStart"/>
      <w:r w:rsidR="000F7FB5">
        <w:t>nenodokļu</w:t>
      </w:r>
      <w:proofErr w:type="spellEnd"/>
      <w:r w:rsidR="000F7FB5">
        <w:t xml:space="preserve"> ieņēmumi par 30 497 </w:t>
      </w:r>
      <w:proofErr w:type="spellStart"/>
      <w:r w:rsidR="000F7FB5">
        <w:rPr>
          <w:i/>
        </w:rPr>
        <w:t>euro</w:t>
      </w:r>
      <w:proofErr w:type="spellEnd"/>
      <w:r w:rsidR="000F7FB5">
        <w:t>,</w:t>
      </w:r>
      <w:r w:rsidR="000F7FB5">
        <w:rPr>
          <w:i/>
        </w:rPr>
        <w:t xml:space="preserve"> </w:t>
      </w:r>
      <w:r w:rsidR="000F7FB5">
        <w:t>maksas pakalpojumi un citi pašu ieņēmumi</w:t>
      </w:r>
      <w:r w:rsidR="000F7FB5" w:rsidRPr="00A05032">
        <w:t xml:space="preserve"> par </w:t>
      </w:r>
      <w:r w:rsidR="000F7FB5">
        <w:t>246 333</w:t>
      </w:r>
      <w:r w:rsidR="000F7FB5" w:rsidRPr="00A05032">
        <w:t> </w:t>
      </w:r>
      <w:proofErr w:type="spellStart"/>
      <w:r w:rsidR="000F7FB5" w:rsidRPr="00A05032">
        <w:rPr>
          <w:i/>
        </w:rPr>
        <w:t>euro</w:t>
      </w:r>
      <w:proofErr w:type="spellEnd"/>
      <w:r w:rsidR="000F7FB5">
        <w:t xml:space="preserve">, bet </w:t>
      </w:r>
      <w:r w:rsidR="00191983">
        <w:t>samazināti</w:t>
      </w:r>
      <w:r w:rsidR="000A4C08">
        <w:t xml:space="preserve"> </w:t>
      </w:r>
      <w:r w:rsidR="00C80354">
        <w:t xml:space="preserve">pašvaldību </w:t>
      </w:r>
      <w:r w:rsidR="00C80354" w:rsidRPr="00A05032">
        <w:t xml:space="preserve">saņemtie </w:t>
      </w:r>
      <w:proofErr w:type="spellStart"/>
      <w:r w:rsidR="00C80354" w:rsidRPr="00A05032">
        <w:t>transferti</w:t>
      </w:r>
      <w:proofErr w:type="spellEnd"/>
      <w:r w:rsidR="00C80354" w:rsidRPr="00A05032">
        <w:t xml:space="preserve"> </w:t>
      </w:r>
      <w:r w:rsidR="00C80354">
        <w:t xml:space="preserve">no </w:t>
      </w:r>
      <w:r w:rsidRPr="00A05032">
        <w:t xml:space="preserve">valsts budžeta </w:t>
      </w:r>
      <w:r w:rsidR="00DC3D08">
        <w:t xml:space="preserve">par </w:t>
      </w:r>
      <w:r w:rsidR="00191983" w:rsidRPr="00FB354D">
        <w:rPr>
          <w:b/>
          <w:szCs w:val="22"/>
        </w:rPr>
        <w:t>–</w:t>
      </w:r>
      <w:r w:rsidR="00AF1849">
        <w:rPr>
          <w:szCs w:val="22"/>
        </w:rPr>
        <w:t>202 035</w:t>
      </w:r>
      <w:r w:rsidR="00191983" w:rsidRPr="00A05032">
        <w:t> </w:t>
      </w:r>
      <w:proofErr w:type="spellStart"/>
      <w:r w:rsidRPr="00A05032">
        <w:rPr>
          <w:i/>
        </w:rPr>
        <w:t>euro</w:t>
      </w:r>
      <w:proofErr w:type="spellEnd"/>
      <w:r w:rsidR="000F7FB5">
        <w:t>.</w:t>
      </w:r>
      <w:r w:rsidRPr="00A05032">
        <w:t xml:space="preserve"> </w:t>
      </w:r>
    </w:p>
    <w:p w14:paraId="0DA4AFFD" w14:textId="77777777" w:rsidR="0072016D" w:rsidRPr="00A05032" w:rsidRDefault="0072016D" w:rsidP="0072016D">
      <w:pPr>
        <w:ind w:right="140" w:firstLine="720"/>
        <w:jc w:val="right"/>
        <w:rPr>
          <w:sz w:val="20"/>
        </w:rPr>
      </w:pPr>
      <w:r w:rsidRPr="00A05032">
        <w:rPr>
          <w:sz w:val="20"/>
        </w:rPr>
        <w:t>Tabula Nr. 1</w:t>
      </w:r>
    </w:p>
    <w:p w14:paraId="020024C7" w14:textId="3134C214" w:rsidR="0072016D" w:rsidRPr="00E70E61" w:rsidRDefault="0072016D" w:rsidP="0072016D">
      <w:pPr>
        <w:ind w:firstLine="720"/>
        <w:jc w:val="center"/>
      </w:pPr>
      <w:r w:rsidRPr="00E70E61">
        <w:t>Pamatbudžeta ieņēmumu izmaiņas uz 01.</w:t>
      </w:r>
      <w:r w:rsidR="00FB354D">
        <w:t>1</w:t>
      </w:r>
      <w:r w:rsidR="00191983">
        <w:t>2</w:t>
      </w:r>
      <w:r w:rsidRPr="00E70E61">
        <w:t>.202</w:t>
      </w:r>
      <w:r w:rsidR="001826DF">
        <w:t>4</w:t>
      </w:r>
      <w:r w:rsidRPr="00E70E61">
        <w:t xml:space="preserve">., </w:t>
      </w:r>
      <w:proofErr w:type="spellStart"/>
      <w:r w:rsidRPr="00E70E61">
        <w:rPr>
          <w:i/>
        </w:rPr>
        <w:t>euro</w:t>
      </w:r>
      <w:proofErr w:type="spellEnd"/>
    </w:p>
    <w:tbl>
      <w:tblPr>
        <w:tblStyle w:val="TableGrid"/>
        <w:tblW w:w="708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275"/>
        <w:gridCol w:w="1134"/>
      </w:tblGrid>
      <w:tr w:rsidR="00191983" w:rsidRPr="00E70E61" w14:paraId="7B8B0838" w14:textId="77777777" w:rsidTr="00191983">
        <w:tc>
          <w:tcPr>
            <w:tcW w:w="2978" w:type="dxa"/>
            <w:vAlign w:val="center"/>
          </w:tcPr>
          <w:p w14:paraId="5A8F8BAE" w14:textId="77777777" w:rsidR="00191983" w:rsidRPr="00E70E61" w:rsidRDefault="0019198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91983" w:rsidRPr="00E70E61" w:rsidRDefault="0019198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E70E61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91983" w:rsidRPr="00E70E61" w:rsidRDefault="00191983" w:rsidP="00307A8C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Pašvaldības budžeta ieņēmumi</w:t>
            </w:r>
          </w:p>
        </w:tc>
        <w:tc>
          <w:tcPr>
            <w:tcW w:w="1134" w:type="dxa"/>
            <w:vAlign w:val="center"/>
          </w:tcPr>
          <w:p w14:paraId="49E1EE98" w14:textId="77777777" w:rsidR="00191983" w:rsidRPr="00E70E61" w:rsidRDefault="0019198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KOPĀ</w:t>
            </w:r>
          </w:p>
        </w:tc>
      </w:tr>
      <w:tr w:rsidR="00191983" w:rsidRPr="00E70E61" w14:paraId="7BE2DA20" w14:textId="77777777" w:rsidTr="00191983">
        <w:tc>
          <w:tcPr>
            <w:tcW w:w="2978" w:type="dxa"/>
          </w:tcPr>
          <w:p w14:paraId="1FC745BB" w14:textId="77777777" w:rsidR="00191983" w:rsidRPr="00E70E61" w:rsidRDefault="00191983" w:rsidP="009C51A6">
            <w:pPr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6C141107" w:rsidR="00191983" w:rsidRPr="00191983" w:rsidRDefault="00191983" w:rsidP="00AF1849">
            <w:pPr>
              <w:jc w:val="center"/>
              <w:rPr>
                <w:b/>
                <w:sz w:val="20"/>
              </w:rPr>
            </w:pPr>
            <w:r w:rsidRPr="00191983">
              <w:rPr>
                <w:b/>
                <w:sz w:val="20"/>
                <w:szCs w:val="20"/>
              </w:rPr>
              <w:t>–</w:t>
            </w:r>
            <w:r w:rsidR="00AF1849">
              <w:rPr>
                <w:b/>
                <w:sz w:val="20"/>
                <w:szCs w:val="20"/>
              </w:rPr>
              <w:t>202 035</w:t>
            </w:r>
          </w:p>
        </w:tc>
        <w:tc>
          <w:tcPr>
            <w:tcW w:w="1275" w:type="dxa"/>
            <w:vAlign w:val="center"/>
          </w:tcPr>
          <w:p w14:paraId="123F5EC0" w14:textId="560F85B8" w:rsidR="00191983" w:rsidRPr="00E70E61" w:rsidRDefault="00AF1849" w:rsidP="000F7F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285 205</w:t>
            </w:r>
          </w:p>
        </w:tc>
        <w:tc>
          <w:tcPr>
            <w:tcW w:w="1134" w:type="dxa"/>
            <w:vAlign w:val="center"/>
          </w:tcPr>
          <w:p w14:paraId="5E29926A" w14:textId="20894EAA" w:rsidR="00191983" w:rsidRPr="00E70E61" w:rsidRDefault="000F7FB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83 170</w:t>
            </w:r>
          </w:p>
        </w:tc>
      </w:tr>
      <w:tr w:rsidR="000F7FB5" w:rsidRPr="00E70E61" w14:paraId="4A574563" w14:textId="77777777" w:rsidTr="00191983">
        <w:tc>
          <w:tcPr>
            <w:tcW w:w="2978" w:type="dxa"/>
          </w:tcPr>
          <w:p w14:paraId="21122CC5" w14:textId="202461DB" w:rsidR="000F7FB5" w:rsidRPr="00E70E61" w:rsidRDefault="000F7FB5" w:rsidP="009C51A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Nenodokļu</w:t>
            </w:r>
            <w:proofErr w:type="spellEnd"/>
            <w:r>
              <w:rPr>
                <w:sz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514C49F2" w14:textId="77777777" w:rsidR="000F7FB5" w:rsidRPr="00FB354D" w:rsidRDefault="000F7FB5" w:rsidP="00191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BDB495" w14:textId="2ECADA03" w:rsidR="000F7FB5" w:rsidRPr="00E70E61" w:rsidRDefault="000F7FB5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30 497</w:t>
            </w:r>
          </w:p>
        </w:tc>
        <w:tc>
          <w:tcPr>
            <w:tcW w:w="1134" w:type="dxa"/>
            <w:vAlign w:val="center"/>
          </w:tcPr>
          <w:p w14:paraId="66C5B901" w14:textId="371A7B8F" w:rsidR="000F7FB5" w:rsidRPr="00FB354D" w:rsidRDefault="000F7FB5" w:rsidP="00191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30 497</w:t>
            </w:r>
          </w:p>
        </w:tc>
      </w:tr>
      <w:tr w:rsidR="00191983" w:rsidRPr="00E70E61" w14:paraId="10822375" w14:textId="77777777" w:rsidTr="00191983">
        <w:tc>
          <w:tcPr>
            <w:tcW w:w="2978" w:type="dxa"/>
          </w:tcPr>
          <w:p w14:paraId="5D4D1A14" w14:textId="77777777" w:rsidR="00191983" w:rsidRPr="00E70E61" w:rsidRDefault="0019198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valsts budžeta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EE48A1" w14:textId="77A467C4" w:rsidR="00191983" w:rsidRPr="00E70E61" w:rsidRDefault="00191983" w:rsidP="00AF1849">
            <w:pPr>
              <w:jc w:val="center"/>
              <w:rPr>
                <w:sz w:val="20"/>
              </w:rPr>
            </w:pPr>
            <w:r w:rsidRPr="00FB354D">
              <w:rPr>
                <w:sz w:val="20"/>
                <w:szCs w:val="20"/>
              </w:rPr>
              <w:t>–</w:t>
            </w:r>
            <w:r w:rsidR="00AF1849">
              <w:rPr>
                <w:sz w:val="20"/>
                <w:szCs w:val="20"/>
              </w:rPr>
              <w:t>202 035</w:t>
            </w:r>
          </w:p>
        </w:tc>
        <w:tc>
          <w:tcPr>
            <w:tcW w:w="1275" w:type="dxa"/>
            <w:vAlign w:val="center"/>
          </w:tcPr>
          <w:p w14:paraId="5D6540BF" w14:textId="77777777" w:rsidR="00191983" w:rsidRPr="00E70E61" w:rsidRDefault="0019198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70D4E8C2" w:rsidR="00191983" w:rsidRPr="00E70E61" w:rsidRDefault="00191983" w:rsidP="00AF1849">
            <w:pPr>
              <w:jc w:val="center"/>
              <w:rPr>
                <w:sz w:val="20"/>
              </w:rPr>
            </w:pPr>
            <w:r w:rsidRPr="00FB354D">
              <w:rPr>
                <w:sz w:val="20"/>
                <w:szCs w:val="20"/>
              </w:rPr>
              <w:t>–</w:t>
            </w:r>
            <w:r w:rsidR="00AF1849">
              <w:rPr>
                <w:sz w:val="20"/>
                <w:szCs w:val="20"/>
              </w:rPr>
              <w:t>202 035</w:t>
            </w:r>
          </w:p>
        </w:tc>
      </w:tr>
      <w:tr w:rsidR="00191983" w:rsidRPr="00E70E61" w14:paraId="45B3018C" w14:textId="77777777" w:rsidTr="00191983">
        <w:tc>
          <w:tcPr>
            <w:tcW w:w="2978" w:type="dxa"/>
          </w:tcPr>
          <w:p w14:paraId="2F5017C8" w14:textId="77777777" w:rsidR="00191983" w:rsidRPr="00E70E61" w:rsidRDefault="0019198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191983" w:rsidRPr="00E70E61" w:rsidRDefault="0019198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35FCE2A9" w:rsidR="00191983" w:rsidRPr="00E70E61" w:rsidRDefault="00AF1849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254 708</w:t>
            </w:r>
          </w:p>
        </w:tc>
        <w:tc>
          <w:tcPr>
            <w:tcW w:w="1134" w:type="dxa"/>
            <w:vAlign w:val="center"/>
          </w:tcPr>
          <w:p w14:paraId="44352401" w14:textId="3D2A3E22" w:rsidR="00191983" w:rsidRPr="00E70E61" w:rsidRDefault="00AF1849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254 708</w:t>
            </w:r>
          </w:p>
        </w:tc>
      </w:tr>
      <w:tr w:rsidR="00191983" w:rsidRPr="00E70E61" w14:paraId="06FE8DD1" w14:textId="77777777" w:rsidTr="00191983">
        <w:tc>
          <w:tcPr>
            <w:tcW w:w="2978" w:type="dxa"/>
          </w:tcPr>
          <w:p w14:paraId="72BE702D" w14:textId="6E93430B" w:rsidR="00191983" w:rsidRPr="00CF107A" w:rsidRDefault="00191983" w:rsidP="009C51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PAVISAM RESURSI</w:t>
            </w:r>
          </w:p>
        </w:tc>
        <w:tc>
          <w:tcPr>
            <w:tcW w:w="1701" w:type="dxa"/>
            <w:vAlign w:val="center"/>
          </w:tcPr>
          <w:p w14:paraId="0EE25B39" w14:textId="5CEA8DB5" w:rsidR="00191983" w:rsidRPr="00191983" w:rsidRDefault="00191983" w:rsidP="00AF1849">
            <w:pPr>
              <w:jc w:val="center"/>
              <w:rPr>
                <w:b/>
                <w:sz w:val="20"/>
              </w:rPr>
            </w:pPr>
            <w:r w:rsidRPr="00191983">
              <w:rPr>
                <w:b/>
                <w:sz w:val="20"/>
                <w:szCs w:val="20"/>
              </w:rPr>
              <w:t>–</w:t>
            </w:r>
            <w:r w:rsidR="00AF1849">
              <w:rPr>
                <w:b/>
                <w:sz w:val="20"/>
                <w:szCs w:val="20"/>
              </w:rPr>
              <w:t>202 035</w:t>
            </w:r>
          </w:p>
        </w:tc>
        <w:tc>
          <w:tcPr>
            <w:tcW w:w="1275" w:type="dxa"/>
            <w:vAlign w:val="center"/>
          </w:tcPr>
          <w:p w14:paraId="1CD24A57" w14:textId="10453AB2" w:rsidR="00191983" w:rsidRPr="00FB354D" w:rsidRDefault="00AF1849" w:rsidP="000F7F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285 205</w:t>
            </w:r>
          </w:p>
        </w:tc>
        <w:tc>
          <w:tcPr>
            <w:tcW w:w="1134" w:type="dxa"/>
            <w:vAlign w:val="center"/>
          </w:tcPr>
          <w:p w14:paraId="5C8C21EE" w14:textId="567B1822" w:rsidR="00191983" w:rsidRPr="00191983" w:rsidRDefault="000F7FB5" w:rsidP="00FB354D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83 170</w:t>
            </w:r>
          </w:p>
        </w:tc>
      </w:tr>
    </w:tbl>
    <w:p w14:paraId="1D2A83C1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4961161D" w14:textId="77777777" w:rsidR="00A52B2B" w:rsidRPr="00E70E61" w:rsidRDefault="00A52B2B" w:rsidP="00A52B2B">
      <w:pPr>
        <w:ind w:left="1080"/>
        <w:jc w:val="both"/>
      </w:pPr>
    </w:p>
    <w:p w14:paraId="7039E6AD" w14:textId="2FF16A58" w:rsidR="00724049" w:rsidRDefault="001E7832" w:rsidP="00AF679A">
      <w:pPr>
        <w:pStyle w:val="ListParagraph"/>
        <w:numPr>
          <w:ilvl w:val="0"/>
          <w:numId w:val="23"/>
        </w:numPr>
        <w:jc w:val="both"/>
      </w:pPr>
      <w:proofErr w:type="spellStart"/>
      <w:r>
        <w:rPr>
          <w:b/>
        </w:rPr>
        <w:t>Nenodokļu</w:t>
      </w:r>
      <w:proofErr w:type="spellEnd"/>
      <w:r>
        <w:rPr>
          <w:b/>
        </w:rPr>
        <w:t xml:space="preserve">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 xml:space="preserve">30 497 </w:t>
      </w:r>
      <w:proofErr w:type="spellStart"/>
      <w:r>
        <w:rPr>
          <w:b/>
          <w:i/>
        </w:rPr>
        <w:t>euro</w:t>
      </w:r>
      <w:proofErr w:type="spellEnd"/>
      <w:r>
        <w:t>, kas ir ieņēmumi no Pašvaldības zemes īpašumu pārdošanas.</w:t>
      </w:r>
    </w:p>
    <w:p w14:paraId="62CAD8B6" w14:textId="77777777" w:rsidR="001E7832" w:rsidRPr="00724049" w:rsidRDefault="001E7832" w:rsidP="001E7832">
      <w:pPr>
        <w:ind w:left="360"/>
        <w:jc w:val="both"/>
      </w:pPr>
    </w:p>
    <w:p w14:paraId="2287ECE5" w14:textId="7EF564C0" w:rsidR="00E654C2" w:rsidRPr="00E654C2" w:rsidRDefault="0072016D" w:rsidP="00AF679A">
      <w:pPr>
        <w:pStyle w:val="ListParagraph"/>
        <w:numPr>
          <w:ilvl w:val="0"/>
          <w:numId w:val="23"/>
        </w:numPr>
        <w:jc w:val="both"/>
      </w:pPr>
      <w:r w:rsidRPr="00AF679A">
        <w:rPr>
          <w:b/>
        </w:rPr>
        <w:t xml:space="preserve">Pašvaldības saņemtie </w:t>
      </w:r>
      <w:r w:rsidR="00A52B2B" w:rsidRPr="00AF679A">
        <w:rPr>
          <w:b/>
        </w:rPr>
        <w:t xml:space="preserve">valsts budžeta </w:t>
      </w:r>
      <w:proofErr w:type="spellStart"/>
      <w:r w:rsidRPr="00AF679A">
        <w:rPr>
          <w:b/>
        </w:rPr>
        <w:t>transferti</w:t>
      </w:r>
      <w:proofErr w:type="spellEnd"/>
      <w:r w:rsidRPr="00AF679A">
        <w:rPr>
          <w:b/>
        </w:rPr>
        <w:t xml:space="preserve"> </w:t>
      </w:r>
      <w:r w:rsidRPr="00AF679A">
        <w:rPr>
          <w:i/>
        </w:rPr>
        <w:t xml:space="preserve">tiek </w:t>
      </w:r>
      <w:r w:rsidR="003F1AF6">
        <w:rPr>
          <w:i/>
        </w:rPr>
        <w:t>samazināti</w:t>
      </w:r>
      <w:r w:rsidRPr="00E70E61">
        <w:t xml:space="preserve"> par </w:t>
      </w:r>
      <w:r w:rsidR="003F1AF6" w:rsidRPr="003F1AF6">
        <w:rPr>
          <w:b/>
        </w:rPr>
        <w:t>–</w:t>
      </w:r>
      <w:r w:rsidR="002B04BE">
        <w:rPr>
          <w:b/>
        </w:rPr>
        <w:t>202 035</w:t>
      </w:r>
      <w:r w:rsidR="003F1AF6">
        <w:t xml:space="preserve"> </w:t>
      </w:r>
      <w:proofErr w:type="spellStart"/>
      <w:r w:rsidRPr="00AF679A">
        <w:rPr>
          <w:b/>
          <w:i/>
        </w:rPr>
        <w:t>euro</w:t>
      </w:r>
      <w:proofErr w:type="spellEnd"/>
      <w:r w:rsidRPr="00E70E61">
        <w:t>,</w:t>
      </w:r>
      <w:r w:rsidRPr="00AF679A">
        <w:rPr>
          <w:b/>
          <w:i/>
        </w:rPr>
        <w:t xml:space="preserve"> </w:t>
      </w:r>
      <w:r w:rsidR="00E654C2">
        <w:t>t.sk.</w:t>
      </w:r>
    </w:p>
    <w:p w14:paraId="7BB85E75" w14:textId="17DD7F2D" w:rsidR="00AF679A" w:rsidRDefault="00E654C2" w:rsidP="00E654C2">
      <w:pPr>
        <w:pStyle w:val="ListParagraph"/>
        <w:numPr>
          <w:ilvl w:val="1"/>
          <w:numId w:val="23"/>
        </w:numPr>
        <w:jc w:val="both"/>
      </w:pPr>
      <w:r w:rsidRPr="00E654C2">
        <w:rPr>
          <w:i/>
        </w:rPr>
        <w:t xml:space="preserve">Pašvaldību saņemtie valsts budžeta </w:t>
      </w:r>
      <w:proofErr w:type="spellStart"/>
      <w:r w:rsidRPr="00E654C2">
        <w:rPr>
          <w:i/>
        </w:rPr>
        <w:t>transferti</w:t>
      </w:r>
      <w:proofErr w:type="spellEnd"/>
      <w:r w:rsidRPr="00E654C2">
        <w:rPr>
          <w:i/>
        </w:rPr>
        <w:t xml:space="preserve"> </w:t>
      </w:r>
      <w:r w:rsidRPr="004571A8">
        <w:t xml:space="preserve">samazinās par </w:t>
      </w:r>
      <w:r w:rsidRPr="004571A8">
        <w:rPr>
          <w:b/>
        </w:rPr>
        <w:t>–</w:t>
      </w:r>
      <w:r w:rsidRPr="004571A8">
        <w:t xml:space="preserve">322 987 </w:t>
      </w:r>
      <w:proofErr w:type="spellStart"/>
      <w:r w:rsidRPr="00DB7A32">
        <w:rPr>
          <w:i/>
        </w:rPr>
        <w:t>euro</w:t>
      </w:r>
      <w:proofErr w:type="spellEnd"/>
      <w:r w:rsidRPr="00E654C2">
        <w:rPr>
          <w:i/>
        </w:rPr>
        <w:t>,</w:t>
      </w:r>
      <w:r>
        <w:t xml:space="preserve"> </w:t>
      </w:r>
      <w:r w:rsidR="003F1AF6">
        <w:t xml:space="preserve">kas ir </w:t>
      </w:r>
      <w:r w:rsidR="00F02E3B">
        <w:t xml:space="preserve">LR </w:t>
      </w:r>
      <w:r w:rsidR="00F02E3B" w:rsidRPr="00CE519C">
        <w:t>Vi</w:t>
      </w:r>
      <w:r w:rsidR="00F02E3B">
        <w:t>e</w:t>
      </w:r>
      <w:r w:rsidR="00F02E3B" w:rsidRPr="00CE519C">
        <w:t>d</w:t>
      </w:r>
      <w:r w:rsidR="00F02E3B">
        <w:t>ās</w:t>
      </w:r>
      <w:r w:rsidR="00F02E3B" w:rsidRPr="00CE519C">
        <w:t xml:space="preserve"> </w:t>
      </w:r>
      <w:r w:rsidR="00F02E3B">
        <w:t>administrācijas</w:t>
      </w:r>
      <w:r w:rsidR="00F02E3B" w:rsidRPr="00CE519C">
        <w:t xml:space="preserve"> un reģionālās attīstības ministrijas </w:t>
      </w:r>
      <w:r w:rsidR="00F02E3B">
        <w:t>(turpmāk </w:t>
      </w:r>
      <w:r w:rsidR="00F02E3B" w:rsidRPr="00E70E61">
        <w:t>–</w:t>
      </w:r>
      <w:r w:rsidR="00F02E3B">
        <w:t xml:space="preserve"> VARAM) </w:t>
      </w:r>
      <w:r w:rsidR="00F02E3B" w:rsidRPr="00CE519C">
        <w:t>finansējum</w:t>
      </w:r>
      <w:r w:rsidR="00F02E3B">
        <w:t xml:space="preserve">s, </w:t>
      </w:r>
      <w:r w:rsidR="00F02E3B" w:rsidRPr="00CE519C">
        <w:t>lai segtu izdevumus saistībā ar 2024.</w:t>
      </w:r>
      <w:r w:rsidR="00F02E3B">
        <w:t> </w:t>
      </w:r>
      <w:r w:rsidR="00F02E3B" w:rsidRPr="00CE519C">
        <w:t>gada 28. un 29.</w:t>
      </w:r>
      <w:r w:rsidR="00F02E3B">
        <w:t> </w:t>
      </w:r>
      <w:r w:rsidR="00F02E3B" w:rsidRPr="00CE519C">
        <w:t>jūlij</w:t>
      </w:r>
      <w:r w:rsidR="00F02E3B">
        <w:t>a</w:t>
      </w:r>
      <w:r w:rsidR="00F02E3B" w:rsidRPr="00CE519C">
        <w:t xml:space="preserve"> vētras un spēcīgo lietavu laikā radīto postījumu novēršanu</w:t>
      </w:r>
      <w:r>
        <w:t>,</w:t>
      </w:r>
    </w:p>
    <w:p w14:paraId="1FDC6FD1" w14:textId="45DDAA95" w:rsidR="00553EA2" w:rsidRPr="00553EA2" w:rsidRDefault="00460503" w:rsidP="00397C4B">
      <w:pPr>
        <w:pStyle w:val="ListParagraph"/>
        <w:numPr>
          <w:ilvl w:val="1"/>
          <w:numId w:val="23"/>
        </w:numPr>
        <w:jc w:val="both"/>
      </w:pPr>
      <w:r w:rsidRPr="00460503">
        <w:rPr>
          <w:i/>
        </w:rPr>
        <w:t xml:space="preserve">Pašvaldību no valsts budžeta iestādēm saņemtie </w:t>
      </w:r>
      <w:proofErr w:type="spellStart"/>
      <w:r w:rsidRPr="00460503">
        <w:rPr>
          <w:i/>
        </w:rPr>
        <w:t>transferti</w:t>
      </w:r>
      <w:proofErr w:type="spellEnd"/>
      <w:r w:rsidRPr="00460503">
        <w:rPr>
          <w:i/>
        </w:rPr>
        <w:t xml:space="preserve"> ES politiku instrumentu un pārējās ārvalstu finanšu palīdzības līdzfinansētajiem projektiem (pasākumiem)</w:t>
      </w:r>
      <w:r w:rsidR="004571A8">
        <w:t xml:space="preserve"> palielināti par 120 952 </w:t>
      </w:r>
      <w:proofErr w:type="spellStart"/>
      <w:r w:rsidR="004571A8">
        <w:rPr>
          <w:i/>
        </w:rPr>
        <w:t>euro</w:t>
      </w:r>
      <w:proofErr w:type="spellEnd"/>
      <w:r w:rsidR="00397C4B">
        <w:t xml:space="preserve">, kas ir LR </w:t>
      </w:r>
      <w:proofErr w:type="spellStart"/>
      <w:r w:rsidR="00397C4B" w:rsidRPr="00397C4B">
        <w:t>Iekšlietu</w:t>
      </w:r>
      <w:proofErr w:type="spellEnd"/>
      <w:r w:rsidR="00397C4B" w:rsidRPr="00397C4B">
        <w:t xml:space="preserve"> ministrijas Informācijas centra </w:t>
      </w:r>
      <w:r w:rsidR="00397C4B" w:rsidRPr="00397C4B">
        <w:lastRenderedPageBreak/>
        <w:t xml:space="preserve">finansējums Eiropas Savienības Atveseļošanas un noturības mehānisma projekta </w:t>
      </w:r>
      <w:r w:rsidR="00397C4B">
        <w:t>“</w:t>
      </w:r>
      <w:r w:rsidR="00397C4B" w:rsidRPr="00397C4B">
        <w:t>Vienota kontaktu centra platformas (112) un Elektronisko notikumu žurnālu valsts un pašvaldību līmenī integrācija</w:t>
      </w:r>
      <w:r w:rsidR="00397C4B">
        <w:t>”</w:t>
      </w:r>
      <w:r w:rsidR="00397C4B" w:rsidRPr="00397C4B">
        <w:t xml:space="preserve"> īstenošanai</w:t>
      </w:r>
      <w:r w:rsidR="00397C4B">
        <w:t xml:space="preserve">; </w:t>
      </w:r>
      <w:r w:rsidR="004571A8">
        <w:rPr>
          <w:i/>
        </w:rPr>
        <w:t xml:space="preserve"> </w:t>
      </w:r>
    </w:p>
    <w:p w14:paraId="33AF2277" w14:textId="324A5BE6" w:rsidR="0072016D" w:rsidRDefault="00C3308D" w:rsidP="00553EA2">
      <w:pPr>
        <w:pStyle w:val="ListParagraph"/>
        <w:numPr>
          <w:ilvl w:val="0"/>
          <w:numId w:val="12"/>
        </w:numPr>
        <w:ind w:left="426" w:firstLine="0"/>
        <w:jc w:val="both"/>
      </w:pPr>
      <w:r w:rsidRPr="00E70E61">
        <w:rPr>
          <w:b/>
        </w:rPr>
        <w:t>Iestāžu i</w:t>
      </w:r>
      <w:r w:rsidR="0072016D" w:rsidRPr="00E70E61">
        <w:rPr>
          <w:b/>
        </w:rPr>
        <w:t xml:space="preserve">eņēmumi </w:t>
      </w:r>
      <w:r w:rsidR="00BC458D">
        <w:rPr>
          <w:b/>
        </w:rPr>
        <w:t>no sniegtajiem maksas pakalpojumiem</w:t>
      </w:r>
      <w:r w:rsidR="00553EA2">
        <w:rPr>
          <w:b/>
        </w:rPr>
        <w:t xml:space="preserve"> un citiem pašu ieņēmumiem</w:t>
      </w:r>
      <w:r w:rsidR="00BC458D">
        <w:rPr>
          <w:b/>
        </w:rPr>
        <w:t xml:space="preserve"> </w:t>
      </w:r>
      <w:r w:rsidRPr="00E70E61">
        <w:rPr>
          <w:i/>
        </w:rPr>
        <w:t xml:space="preserve">tiek palielināti </w:t>
      </w:r>
      <w:r w:rsidRPr="00E70E61">
        <w:t xml:space="preserve">par </w:t>
      </w:r>
      <w:r w:rsidR="002B04BE">
        <w:rPr>
          <w:b/>
        </w:rPr>
        <w:t>254 708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856868" w:rsidRPr="00E70E61">
        <w:rPr>
          <w:bCs/>
          <w:iCs/>
        </w:rPr>
        <w:t>,</w:t>
      </w:r>
      <w:r w:rsidRPr="00E70E61">
        <w:rPr>
          <w:b/>
        </w:rPr>
        <w:t xml:space="preserve"> </w:t>
      </w:r>
      <w:r w:rsidR="0072016D" w:rsidRPr="00E70E61">
        <w:t>t. sk.:</w:t>
      </w:r>
    </w:p>
    <w:p w14:paraId="2531BD5C" w14:textId="41049E2E" w:rsidR="00553EA2" w:rsidRDefault="00553EA2" w:rsidP="00553EA2">
      <w:pPr>
        <w:pStyle w:val="ListParagraph"/>
        <w:numPr>
          <w:ilvl w:val="1"/>
          <w:numId w:val="12"/>
        </w:numPr>
        <w:jc w:val="both"/>
      </w:pPr>
      <w:r>
        <w:rPr>
          <w:b/>
        </w:rPr>
        <w:t xml:space="preserve">Iestāžu ieņēmumi no ārvalstu finanšu palīdzības </w:t>
      </w:r>
      <w:r w:rsidRPr="00553EA2">
        <w:t xml:space="preserve">par </w:t>
      </w:r>
      <w:r w:rsidRPr="00DB7A32">
        <w:t xml:space="preserve">88 517 </w:t>
      </w:r>
      <w:proofErr w:type="spellStart"/>
      <w:r w:rsidRPr="00DB7A32">
        <w:rPr>
          <w:i/>
        </w:rPr>
        <w:t>euro</w:t>
      </w:r>
      <w:proofErr w:type="spellEnd"/>
      <w:r w:rsidRPr="00DB7A32">
        <w:t>.</w:t>
      </w:r>
      <w:r>
        <w:rPr>
          <w:b/>
        </w:rPr>
        <w:t xml:space="preserve"> </w:t>
      </w:r>
      <w:r w:rsidRPr="00553EA2">
        <w:t>Tie sadalās sekojoš</w:t>
      </w:r>
      <w:r>
        <w:t>u</w:t>
      </w:r>
      <w:r w:rsidRPr="00553EA2">
        <w:t xml:space="preserve"> projekt</w:t>
      </w:r>
      <w:r>
        <w:t>u īstenošanai:</w:t>
      </w:r>
    </w:p>
    <w:p w14:paraId="14F61EB4" w14:textId="53579D15" w:rsidR="00553EA2" w:rsidRDefault="00553EA2" w:rsidP="00553EA2">
      <w:pPr>
        <w:pStyle w:val="ListParagraph"/>
        <w:numPr>
          <w:ilvl w:val="2"/>
          <w:numId w:val="12"/>
        </w:numPr>
        <w:jc w:val="both"/>
      </w:pPr>
      <w:r>
        <w:t>47 200</w:t>
      </w:r>
      <w:r w:rsidRPr="001830CD">
        <w:t xml:space="preserve"> </w:t>
      </w:r>
      <w:proofErr w:type="spellStart"/>
      <w:r w:rsidRPr="001830CD">
        <w:rPr>
          <w:i/>
        </w:rPr>
        <w:t>euro</w:t>
      </w:r>
      <w:proofErr w:type="spellEnd"/>
      <w:r w:rsidRPr="001830CD">
        <w:rPr>
          <w:i/>
        </w:rPr>
        <w:t xml:space="preserve"> </w:t>
      </w:r>
      <w:r w:rsidRPr="001830CD">
        <w:t>–</w:t>
      </w:r>
      <w:r>
        <w:t xml:space="preserve"> </w:t>
      </w:r>
      <w:r w:rsidRPr="00553EA2">
        <w:t xml:space="preserve">Norvēģijas Augstākās izglītības un kompetenču aģentūras finansējums </w:t>
      </w:r>
      <w:proofErr w:type="spellStart"/>
      <w:r w:rsidRPr="00553EA2">
        <w:t>Nordplus</w:t>
      </w:r>
      <w:proofErr w:type="spellEnd"/>
      <w:r w:rsidRPr="00553EA2">
        <w:t xml:space="preserve"> </w:t>
      </w:r>
      <w:proofErr w:type="spellStart"/>
      <w:r w:rsidRPr="00553EA2">
        <w:t>Horizontal</w:t>
      </w:r>
      <w:proofErr w:type="spellEnd"/>
      <w:r w:rsidRPr="00553EA2">
        <w:t xml:space="preserve"> 2024 projekta</w:t>
      </w:r>
      <w:r>
        <w:t>m</w:t>
      </w:r>
      <w:r w:rsidRPr="00553EA2">
        <w:t xml:space="preserve"> </w:t>
      </w:r>
      <w:r>
        <w:t>“</w:t>
      </w:r>
      <w:r w:rsidRPr="00553EA2">
        <w:t>Radošuma veicināšana STEM mācību priekšmetos</w:t>
      </w:r>
      <w:r>
        <w:t>” (EKK precizējums),</w:t>
      </w:r>
    </w:p>
    <w:p w14:paraId="7E4FB820" w14:textId="3187DB11" w:rsidR="00553EA2" w:rsidRPr="00553EA2" w:rsidRDefault="00553EA2" w:rsidP="00553EA2">
      <w:pPr>
        <w:pStyle w:val="ListParagraph"/>
        <w:numPr>
          <w:ilvl w:val="2"/>
          <w:numId w:val="12"/>
        </w:numPr>
        <w:jc w:val="both"/>
        <w:rPr>
          <w:i/>
        </w:rPr>
      </w:pPr>
      <w:r>
        <w:t xml:space="preserve">11 598 </w:t>
      </w:r>
      <w:proofErr w:type="spellStart"/>
      <w:r w:rsidRPr="00553EA2">
        <w:rPr>
          <w:i/>
        </w:rPr>
        <w:t>euro</w:t>
      </w:r>
      <w:proofErr w:type="spellEnd"/>
      <w:r w:rsidRPr="00553EA2">
        <w:rPr>
          <w:i/>
        </w:rPr>
        <w:t xml:space="preserve"> </w:t>
      </w:r>
      <w:r w:rsidRPr="001830CD">
        <w:t>–</w:t>
      </w:r>
      <w:r>
        <w:t xml:space="preserve"> </w:t>
      </w:r>
      <w:r w:rsidRPr="00553EA2">
        <w:t xml:space="preserve">Lietuvas Republikas biedrības </w:t>
      </w:r>
      <w:r>
        <w:t>“</w:t>
      </w:r>
      <w:r w:rsidRPr="00553EA2">
        <w:t>Senioru pasaule</w:t>
      </w:r>
      <w:r>
        <w:t>”</w:t>
      </w:r>
      <w:r w:rsidRPr="00553EA2">
        <w:t xml:space="preserve"> finansējums </w:t>
      </w:r>
      <w:proofErr w:type="spellStart"/>
      <w:r w:rsidRPr="00553EA2">
        <w:t>Erasmus</w:t>
      </w:r>
      <w:proofErr w:type="spellEnd"/>
      <w:r w:rsidRPr="00553EA2">
        <w:t xml:space="preserve"> plus projekta</w:t>
      </w:r>
      <w:r w:rsidR="0016296E">
        <w:t>m</w:t>
      </w:r>
      <w:r w:rsidRPr="00553EA2">
        <w:t xml:space="preserve"> </w:t>
      </w:r>
      <w:r>
        <w:t>“</w:t>
      </w:r>
      <w:r w:rsidRPr="00553EA2">
        <w:t>Senioru iesaiste digitālo prasmju apguvē un brīvprātīgajā darbā</w:t>
      </w:r>
      <w:r>
        <w:t>” (EKK precizējums),</w:t>
      </w:r>
    </w:p>
    <w:p w14:paraId="3BE8B0AE" w14:textId="1A338C8A" w:rsidR="00553EA2" w:rsidRPr="005A3CCC" w:rsidRDefault="0016296E" w:rsidP="0016296E">
      <w:pPr>
        <w:pStyle w:val="ListParagraph"/>
        <w:numPr>
          <w:ilvl w:val="2"/>
          <w:numId w:val="12"/>
        </w:numPr>
        <w:jc w:val="both"/>
        <w:rPr>
          <w:i/>
        </w:rPr>
      </w:pPr>
      <w:r>
        <w:t xml:space="preserve">28 207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830CD">
        <w:t>–</w:t>
      </w:r>
      <w:r>
        <w:t xml:space="preserve"> </w:t>
      </w:r>
      <w:r w:rsidR="006955D1">
        <w:t>v</w:t>
      </w:r>
      <w:r w:rsidRPr="0016296E">
        <w:t xml:space="preserve">adošā partnera FUNDACION DE LA C.V. PARA LA PROMOC  finansējums </w:t>
      </w:r>
      <w:r>
        <w:t>“</w:t>
      </w:r>
      <w:r w:rsidRPr="0016296E">
        <w:t>Apvārsnis 2020</w:t>
      </w:r>
      <w:r>
        <w:t>”</w:t>
      </w:r>
      <w:r w:rsidRPr="0016296E">
        <w:t xml:space="preserve"> programmas projekta</w:t>
      </w:r>
      <w:r>
        <w:t>m</w:t>
      </w:r>
      <w:r w:rsidRPr="0016296E">
        <w:t xml:space="preserve"> </w:t>
      </w:r>
      <w:r>
        <w:t>“</w:t>
      </w:r>
      <w:proofErr w:type="spellStart"/>
      <w:r w:rsidRPr="0016296E">
        <w:t>Wellbased</w:t>
      </w:r>
      <w:proofErr w:type="spellEnd"/>
      <w:r>
        <w:t>”</w:t>
      </w:r>
      <w:r w:rsidR="005A3CCC">
        <w:t>,</w:t>
      </w:r>
    </w:p>
    <w:p w14:paraId="302DD98D" w14:textId="616A84CF" w:rsidR="005A3CCC" w:rsidRPr="00553EA2" w:rsidRDefault="005A3CCC" w:rsidP="005A3CCC">
      <w:pPr>
        <w:pStyle w:val="ListParagraph"/>
        <w:numPr>
          <w:ilvl w:val="2"/>
          <w:numId w:val="12"/>
        </w:numPr>
        <w:jc w:val="both"/>
        <w:rPr>
          <w:i/>
        </w:rPr>
      </w:pPr>
      <w:r>
        <w:t xml:space="preserve">1512 </w:t>
      </w:r>
      <w:proofErr w:type="spellStart"/>
      <w:r w:rsidRPr="005A3CCC">
        <w:rPr>
          <w:i/>
        </w:rPr>
        <w:t>euro</w:t>
      </w:r>
      <w:proofErr w:type="spellEnd"/>
      <w:r w:rsidRPr="005A3CCC">
        <w:rPr>
          <w:i/>
        </w:rPr>
        <w:t xml:space="preserve"> </w:t>
      </w:r>
      <w:r w:rsidRPr="001830CD">
        <w:t>–</w:t>
      </w:r>
      <w:r>
        <w:t xml:space="preserve"> </w:t>
      </w:r>
      <w:r w:rsidR="006955D1">
        <w:t>v</w:t>
      </w:r>
      <w:r w:rsidRPr="005A3CCC">
        <w:t xml:space="preserve">adošā projekta partnera </w:t>
      </w:r>
      <w:r>
        <w:t>“</w:t>
      </w:r>
      <w:proofErr w:type="spellStart"/>
      <w:r w:rsidRPr="005A3CCC">
        <w:t>Vilnius</w:t>
      </w:r>
      <w:proofErr w:type="spellEnd"/>
      <w:r w:rsidRPr="005A3CCC">
        <w:t xml:space="preserve"> Engineering </w:t>
      </w:r>
      <w:proofErr w:type="spellStart"/>
      <w:r w:rsidRPr="005A3CCC">
        <w:t>and</w:t>
      </w:r>
      <w:proofErr w:type="spellEnd"/>
      <w:r w:rsidRPr="005A3CCC">
        <w:t xml:space="preserve"> </w:t>
      </w:r>
      <w:proofErr w:type="spellStart"/>
      <w:r w:rsidRPr="005A3CCC">
        <w:t>Technology</w:t>
      </w:r>
      <w:proofErr w:type="spellEnd"/>
      <w:r w:rsidRPr="005A3CCC">
        <w:t xml:space="preserve"> </w:t>
      </w:r>
      <w:proofErr w:type="spellStart"/>
      <w:r w:rsidRPr="005A3CCC">
        <w:t>Lyceum</w:t>
      </w:r>
      <w:proofErr w:type="spellEnd"/>
      <w:r>
        <w:t>”</w:t>
      </w:r>
      <w:r w:rsidRPr="005A3CCC">
        <w:t xml:space="preserve"> finansējums </w:t>
      </w:r>
      <w:proofErr w:type="spellStart"/>
      <w:r w:rsidRPr="005A3CCC">
        <w:t>Nordplus</w:t>
      </w:r>
      <w:proofErr w:type="spellEnd"/>
      <w:r w:rsidRPr="005A3CCC">
        <w:t xml:space="preserve"> Junior projekta</w:t>
      </w:r>
      <w:r>
        <w:t>m</w:t>
      </w:r>
      <w:r w:rsidRPr="005A3CCC">
        <w:t xml:space="preserve"> </w:t>
      </w:r>
      <w:r>
        <w:t>“</w:t>
      </w:r>
      <w:r w:rsidRPr="005A3CCC">
        <w:t xml:space="preserve">A </w:t>
      </w:r>
      <w:proofErr w:type="spellStart"/>
      <w:r w:rsidRPr="005A3CCC">
        <w:t>code</w:t>
      </w:r>
      <w:proofErr w:type="spellEnd"/>
      <w:r w:rsidRPr="005A3CCC">
        <w:t xml:space="preserve"> </w:t>
      </w:r>
      <w:proofErr w:type="spellStart"/>
      <w:r w:rsidRPr="005A3CCC">
        <w:t>for</w:t>
      </w:r>
      <w:proofErr w:type="spellEnd"/>
      <w:r w:rsidRPr="005A3CCC">
        <w:t xml:space="preserve"> </w:t>
      </w:r>
      <w:proofErr w:type="spellStart"/>
      <w:r w:rsidRPr="005A3CCC">
        <w:t>thinking</w:t>
      </w:r>
      <w:proofErr w:type="spellEnd"/>
      <w:r w:rsidRPr="005A3CCC">
        <w:t xml:space="preserve"> </w:t>
      </w:r>
      <w:proofErr w:type="spellStart"/>
      <w:r w:rsidRPr="005A3CCC">
        <w:t>skills</w:t>
      </w:r>
      <w:proofErr w:type="spellEnd"/>
      <w:r w:rsidRPr="005A3CCC">
        <w:t xml:space="preserve"> </w:t>
      </w:r>
      <w:proofErr w:type="spellStart"/>
      <w:r w:rsidRPr="005A3CCC">
        <w:t>in</w:t>
      </w:r>
      <w:proofErr w:type="spellEnd"/>
      <w:r w:rsidRPr="005A3CCC">
        <w:t xml:space="preserve"> </w:t>
      </w:r>
      <w:proofErr w:type="spellStart"/>
      <w:r w:rsidRPr="005A3CCC">
        <w:t>the</w:t>
      </w:r>
      <w:proofErr w:type="spellEnd"/>
      <w:r w:rsidRPr="005A3CCC">
        <w:t xml:space="preserve"> 21st </w:t>
      </w:r>
      <w:proofErr w:type="spellStart"/>
      <w:r w:rsidRPr="005A3CCC">
        <w:t>century</w:t>
      </w:r>
      <w:proofErr w:type="spellEnd"/>
      <w:r>
        <w:t>”;</w:t>
      </w:r>
    </w:p>
    <w:p w14:paraId="4E312D4E" w14:textId="6E524ACD" w:rsidR="005A3CCC" w:rsidRDefault="005A3CCC" w:rsidP="00C27F00">
      <w:pPr>
        <w:pStyle w:val="ListParagraph"/>
        <w:numPr>
          <w:ilvl w:val="1"/>
          <w:numId w:val="5"/>
        </w:numPr>
        <w:jc w:val="both"/>
      </w:pPr>
      <w:r>
        <w:rPr>
          <w:b/>
        </w:rPr>
        <w:t>I</w:t>
      </w:r>
      <w:r w:rsidRPr="00E70E61">
        <w:rPr>
          <w:b/>
        </w:rPr>
        <w:t xml:space="preserve">eņēmumi </w:t>
      </w:r>
      <w:r>
        <w:rPr>
          <w:b/>
        </w:rPr>
        <w:t xml:space="preserve">no iestāžu sniegtajiem maksas pakalpojumiem un citi pašu ieņēmumi </w:t>
      </w:r>
      <w:r>
        <w:rPr>
          <w:i/>
        </w:rPr>
        <w:t xml:space="preserve">palielināti par </w:t>
      </w:r>
      <w:r w:rsidRPr="00DB7A32">
        <w:t>21</w:t>
      </w:r>
      <w:r w:rsidR="002B04BE" w:rsidRPr="00DB7A32">
        <w:t>9</w:t>
      </w:r>
      <w:r w:rsidRPr="00DB7A32">
        <w:t> </w:t>
      </w:r>
      <w:r w:rsidR="002B04BE" w:rsidRPr="00DB7A32">
        <w:t>369</w:t>
      </w:r>
      <w:r>
        <w:rPr>
          <w:i/>
        </w:rPr>
        <w:t xml:space="preserve"> </w:t>
      </w:r>
      <w:proofErr w:type="spellStart"/>
      <w:r w:rsidR="00C27F00" w:rsidRPr="005A3CCC">
        <w:rPr>
          <w:i/>
        </w:rPr>
        <w:t>euro</w:t>
      </w:r>
      <w:proofErr w:type="spellEnd"/>
      <w:r>
        <w:t>, t.sk.</w:t>
      </w:r>
    </w:p>
    <w:p w14:paraId="62EC6027" w14:textId="0EF0D080" w:rsidR="00C27F00" w:rsidRDefault="005A3CCC" w:rsidP="005A3CCC">
      <w:pPr>
        <w:pStyle w:val="ListParagraph"/>
        <w:numPr>
          <w:ilvl w:val="2"/>
          <w:numId w:val="5"/>
        </w:numPr>
        <w:jc w:val="both"/>
      </w:pPr>
      <w:r w:rsidRPr="005A3CCC">
        <w:t>17 334</w:t>
      </w:r>
      <w:r>
        <w:rPr>
          <w:b/>
        </w:rPr>
        <w:t xml:space="preserve"> </w:t>
      </w:r>
      <w:proofErr w:type="spellStart"/>
      <w:r w:rsidRPr="005A3CCC">
        <w:rPr>
          <w:i/>
        </w:rPr>
        <w:t>euro</w:t>
      </w:r>
      <w:proofErr w:type="spellEnd"/>
      <w:r>
        <w:rPr>
          <w:b/>
        </w:rPr>
        <w:t xml:space="preserve"> </w:t>
      </w:r>
      <w:r w:rsidR="00C27F00" w:rsidRPr="001830CD">
        <w:rPr>
          <w:i/>
        </w:rPr>
        <w:t xml:space="preserve"> </w:t>
      </w:r>
      <w:r w:rsidR="00C27F00" w:rsidRPr="001830CD">
        <w:t xml:space="preserve">– </w:t>
      </w:r>
      <w:r w:rsidR="00553EA2">
        <w:t>ieņēmumu</w:t>
      </w:r>
      <w:r>
        <w:t xml:space="preserve"> par nomu un īri</w:t>
      </w:r>
      <w:r w:rsidR="00C27F00" w:rsidRPr="001830CD">
        <w:t xml:space="preserve">, </w:t>
      </w:r>
    </w:p>
    <w:p w14:paraId="477B7BB7" w14:textId="45171491" w:rsidR="005A3CCC" w:rsidRDefault="002B04BE" w:rsidP="0003200F">
      <w:pPr>
        <w:pStyle w:val="ListParagraph"/>
        <w:numPr>
          <w:ilvl w:val="2"/>
          <w:numId w:val="5"/>
        </w:numPr>
        <w:jc w:val="both"/>
      </w:pPr>
      <w:r>
        <w:t>202 035</w:t>
      </w:r>
      <w:r w:rsidR="005A3CCC">
        <w:t xml:space="preserve"> </w:t>
      </w:r>
      <w:proofErr w:type="spellStart"/>
      <w:r w:rsidR="005A3CCC" w:rsidRPr="005A3CCC">
        <w:rPr>
          <w:i/>
        </w:rPr>
        <w:t>euro</w:t>
      </w:r>
      <w:proofErr w:type="spellEnd"/>
      <w:r w:rsidR="005A3CCC">
        <w:t xml:space="preserve"> </w:t>
      </w:r>
      <w:r w:rsidR="0003200F" w:rsidRPr="001830CD">
        <w:t>–</w:t>
      </w:r>
      <w:r w:rsidR="0003200F">
        <w:t xml:space="preserve"> i</w:t>
      </w:r>
      <w:r w:rsidR="0003200F" w:rsidRPr="0003200F">
        <w:t xml:space="preserve">estādes saņemtā atlīdzība no apdrošināšanas sabiedrības par </w:t>
      </w:r>
      <w:r w:rsidR="00874241">
        <w:t>plūdos radītajiem zaudējumiem</w:t>
      </w:r>
      <w:r w:rsidR="0003200F">
        <w:t>;</w:t>
      </w:r>
      <w:r w:rsidR="0003200F" w:rsidRPr="0003200F">
        <w:t xml:space="preserve"> </w:t>
      </w:r>
    </w:p>
    <w:p w14:paraId="7EC39023" w14:textId="714F09F7" w:rsidR="0072016D" w:rsidRPr="0003200F" w:rsidRDefault="0003200F" w:rsidP="0072016D">
      <w:pPr>
        <w:pStyle w:val="ListParagraph"/>
        <w:numPr>
          <w:ilvl w:val="1"/>
          <w:numId w:val="5"/>
        </w:numPr>
        <w:jc w:val="both"/>
        <w:rPr>
          <w:b/>
        </w:rPr>
      </w:pPr>
      <w:r w:rsidRPr="0003200F">
        <w:rPr>
          <w:b/>
        </w:rPr>
        <w:t>Citi iepriekš neklasificētie pašu ieņēmumi</w:t>
      </w:r>
      <w:r w:rsidRPr="001830CD">
        <w:t xml:space="preserve"> </w:t>
      </w:r>
      <w:r w:rsidRPr="0003200F">
        <w:rPr>
          <w:i/>
        </w:rPr>
        <w:t>samazināti par</w:t>
      </w:r>
      <w:r>
        <w:t xml:space="preserve"> </w:t>
      </w:r>
      <w:r w:rsidR="00C27F00" w:rsidRPr="0003200F">
        <w:rPr>
          <w:b/>
        </w:rPr>
        <w:t xml:space="preserve">– </w:t>
      </w:r>
      <w:r w:rsidRPr="00DB7A32">
        <w:t>53 178</w:t>
      </w:r>
      <w:r w:rsidRPr="0003200F">
        <w:rPr>
          <w:b/>
        </w:rPr>
        <w:t xml:space="preserve"> </w:t>
      </w:r>
      <w:proofErr w:type="spellStart"/>
      <w:r w:rsidRPr="00DB7A32">
        <w:rPr>
          <w:i/>
        </w:rPr>
        <w:t>euro</w:t>
      </w:r>
      <w:proofErr w:type="spellEnd"/>
      <w:r w:rsidRPr="0003200F">
        <w:t>,</w:t>
      </w:r>
      <w:r w:rsidRPr="0003200F">
        <w:rPr>
          <w:i/>
        </w:rPr>
        <w:t xml:space="preserve"> </w:t>
      </w:r>
      <w:r>
        <w:t xml:space="preserve">kur </w:t>
      </w:r>
    </w:p>
    <w:p w14:paraId="003E44AB" w14:textId="640F4594" w:rsidR="0003200F" w:rsidRDefault="0003200F" w:rsidP="0003200F">
      <w:pPr>
        <w:pStyle w:val="ListParagraph"/>
        <w:numPr>
          <w:ilvl w:val="2"/>
          <w:numId w:val="5"/>
        </w:numPr>
        <w:jc w:val="both"/>
      </w:pPr>
      <w:r w:rsidRPr="0003200F">
        <w:t>5620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03200F">
        <w:t xml:space="preserve"> </w:t>
      </w:r>
      <w:r w:rsidRPr="001830CD">
        <w:t>–</w:t>
      </w:r>
      <w:r w:rsidRPr="0003200F">
        <w:t xml:space="preserve">sadarbības iestādes </w:t>
      </w:r>
      <w:r>
        <w:t>“</w:t>
      </w:r>
      <w:proofErr w:type="spellStart"/>
      <w:r w:rsidRPr="0003200F">
        <w:t>Vilniaus</w:t>
      </w:r>
      <w:proofErr w:type="spellEnd"/>
      <w:r w:rsidRPr="0003200F">
        <w:t xml:space="preserve"> </w:t>
      </w:r>
      <w:proofErr w:type="spellStart"/>
      <w:r w:rsidRPr="0003200F">
        <w:t>Nemencines</w:t>
      </w:r>
      <w:proofErr w:type="spellEnd"/>
      <w:r w:rsidRPr="0003200F">
        <w:t xml:space="preserve"> </w:t>
      </w:r>
      <w:proofErr w:type="spellStart"/>
      <w:r w:rsidRPr="0003200F">
        <w:t>Gedimino</w:t>
      </w:r>
      <w:proofErr w:type="spellEnd"/>
      <w:r w:rsidRPr="0003200F">
        <w:t xml:space="preserve"> </w:t>
      </w:r>
      <w:proofErr w:type="spellStart"/>
      <w:r>
        <w:t>g</w:t>
      </w:r>
      <w:r w:rsidRPr="0003200F">
        <w:t>imn</w:t>
      </w:r>
      <w:r>
        <w:t>a</w:t>
      </w:r>
      <w:r w:rsidRPr="0003200F">
        <w:t>zija</w:t>
      </w:r>
      <w:proofErr w:type="spellEnd"/>
      <w:r>
        <w:t>”</w:t>
      </w:r>
      <w:r w:rsidRPr="0003200F">
        <w:t xml:space="preserve"> finansējums </w:t>
      </w:r>
      <w:proofErr w:type="spellStart"/>
      <w:r w:rsidRPr="0003200F">
        <w:t>Nordplus</w:t>
      </w:r>
      <w:proofErr w:type="spellEnd"/>
      <w:r w:rsidRPr="0003200F">
        <w:t xml:space="preserve"> Junior projekta </w:t>
      </w:r>
      <w:r>
        <w:t>“</w:t>
      </w:r>
      <w:proofErr w:type="spellStart"/>
      <w:r w:rsidRPr="0003200F">
        <w:t>Baltic</w:t>
      </w:r>
      <w:proofErr w:type="spellEnd"/>
      <w:r w:rsidRPr="0003200F">
        <w:t xml:space="preserve"> </w:t>
      </w:r>
      <w:proofErr w:type="spellStart"/>
      <w:r w:rsidRPr="0003200F">
        <w:t>minds</w:t>
      </w:r>
      <w:proofErr w:type="spellEnd"/>
      <w:r w:rsidRPr="0003200F">
        <w:t xml:space="preserve"> </w:t>
      </w:r>
      <w:proofErr w:type="spellStart"/>
      <w:r w:rsidRPr="0003200F">
        <w:t>connected</w:t>
      </w:r>
      <w:proofErr w:type="spellEnd"/>
      <w:r>
        <w:t>”</w:t>
      </w:r>
      <w:r w:rsidRPr="0003200F">
        <w:t xml:space="preserve"> īst</w:t>
      </w:r>
      <w:r>
        <w:t>e</w:t>
      </w:r>
      <w:r w:rsidRPr="0003200F">
        <w:t>nošanai</w:t>
      </w:r>
      <w:r>
        <w:t>,</w:t>
      </w:r>
    </w:p>
    <w:p w14:paraId="1CB34690" w14:textId="3DE84EB8" w:rsidR="0003200F" w:rsidRPr="0003200F" w:rsidRDefault="0003200F" w:rsidP="0003200F">
      <w:pPr>
        <w:pStyle w:val="ListParagraph"/>
        <w:numPr>
          <w:ilvl w:val="2"/>
          <w:numId w:val="5"/>
        </w:numPr>
        <w:jc w:val="both"/>
      </w:pPr>
      <w:r w:rsidRPr="001830CD">
        <w:t>–</w:t>
      </w:r>
      <w:r>
        <w:t xml:space="preserve">58 798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830CD">
        <w:t>–</w:t>
      </w:r>
      <w:r>
        <w:t xml:space="preserve"> projektu EKK precizēšana</w:t>
      </w:r>
      <w:r w:rsidR="00EB45CE">
        <w:t>.</w:t>
      </w:r>
    </w:p>
    <w:p w14:paraId="0F80EE44" w14:textId="77777777" w:rsidR="0072016D" w:rsidRPr="008A6CB6" w:rsidRDefault="0072016D" w:rsidP="0072016D">
      <w:pPr>
        <w:jc w:val="both"/>
        <w:rPr>
          <w:color w:val="FF0000"/>
        </w:rPr>
      </w:pPr>
    </w:p>
    <w:p w14:paraId="604154B5" w14:textId="77777777" w:rsidR="0072016D" w:rsidRPr="008A6CB6" w:rsidRDefault="0072016D" w:rsidP="0072016D">
      <w:pPr>
        <w:jc w:val="both"/>
        <w:rPr>
          <w:color w:val="FF0000"/>
        </w:rPr>
      </w:pPr>
    </w:p>
    <w:p w14:paraId="455B91D3" w14:textId="77777777" w:rsidR="0072016D" w:rsidRPr="008B3261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8B3261">
        <w:rPr>
          <w:b/>
        </w:rPr>
        <w:t>IZDEVUMI</w:t>
      </w:r>
    </w:p>
    <w:p w14:paraId="64F61EF8" w14:textId="77777777" w:rsidR="0072016D" w:rsidRPr="002C260D" w:rsidRDefault="0072016D" w:rsidP="0072016D">
      <w:pPr>
        <w:ind w:firstLine="720"/>
        <w:jc w:val="both"/>
        <w:rPr>
          <w:color w:val="FF0000"/>
        </w:rPr>
      </w:pPr>
    </w:p>
    <w:p w14:paraId="1154B1C9" w14:textId="5F03D502" w:rsidR="007F2088" w:rsidRPr="00C0084B" w:rsidRDefault="0072016D" w:rsidP="0090304B">
      <w:pPr>
        <w:ind w:firstLine="720"/>
        <w:jc w:val="both"/>
        <w:rPr>
          <w:sz w:val="20"/>
        </w:rPr>
      </w:pPr>
      <w:r w:rsidRPr="00C0084B">
        <w:t>Budžeta izdevumu daļa precizēta analogi saņemtajiem ieņēmumiem un veiktajiem iekšējiem grozījumiem starp funkcionālajām kategorijām.</w:t>
      </w:r>
    </w:p>
    <w:p w14:paraId="49DA0651" w14:textId="77777777" w:rsidR="0072016D" w:rsidRPr="00C0084B" w:rsidRDefault="0072016D" w:rsidP="0072016D">
      <w:pPr>
        <w:ind w:firstLine="720"/>
        <w:jc w:val="right"/>
        <w:rPr>
          <w:sz w:val="20"/>
        </w:rPr>
      </w:pPr>
      <w:r w:rsidRPr="00C0084B">
        <w:rPr>
          <w:sz w:val="20"/>
        </w:rPr>
        <w:t>Tabula Nr. 2</w:t>
      </w:r>
    </w:p>
    <w:p w14:paraId="4C31256C" w14:textId="2A419E00" w:rsidR="0072016D" w:rsidRPr="00C0084B" w:rsidRDefault="0072016D" w:rsidP="0072016D">
      <w:pPr>
        <w:ind w:firstLine="720"/>
        <w:jc w:val="center"/>
      </w:pPr>
      <w:r w:rsidRPr="00C0084B">
        <w:t>Pamatbudžeta izdevumu izmaiņas uz 01.</w:t>
      </w:r>
      <w:r w:rsidR="008B3261">
        <w:t>1</w:t>
      </w:r>
      <w:r w:rsidR="00714088">
        <w:t>2</w:t>
      </w:r>
      <w:r w:rsidRPr="00C0084B">
        <w:t>.202</w:t>
      </w:r>
      <w:r w:rsidR="002C260D">
        <w:t>4</w:t>
      </w:r>
      <w:r w:rsidRPr="00C0084B">
        <w:t>.</w:t>
      </w:r>
      <w:r w:rsidR="004A69DF" w:rsidRPr="00C0084B">
        <w:t xml:space="preserve">, </w:t>
      </w:r>
      <w:proofErr w:type="spellStart"/>
      <w:r w:rsidR="004A69DF" w:rsidRPr="00C0084B">
        <w:rPr>
          <w:i/>
          <w:iCs/>
        </w:rPr>
        <w:t>euro</w:t>
      </w:r>
      <w:proofErr w:type="spellEnd"/>
    </w:p>
    <w:tbl>
      <w:tblPr>
        <w:tblStyle w:val="TableGrid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063"/>
        <w:gridCol w:w="1772"/>
        <w:gridCol w:w="1276"/>
      </w:tblGrid>
      <w:tr w:rsidR="008A6CB6" w:rsidRPr="008A6CB6" w14:paraId="5D6C0D57" w14:textId="77777777" w:rsidTr="001E7832">
        <w:tc>
          <w:tcPr>
            <w:tcW w:w="1418" w:type="dxa"/>
            <w:vAlign w:val="center"/>
          </w:tcPr>
          <w:p w14:paraId="14756B77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701" w:type="dxa"/>
            <w:vAlign w:val="center"/>
          </w:tcPr>
          <w:p w14:paraId="77A875CA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417" w:type="dxa"/>
            <w:vAlign w:val="center"/>
          </w:tcPr>
          <w:p w14:paraId="025F5E96" w14:textId="007B7204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063" w:type="dxa"/>
            <w:vAlign w:val="center"/>
          </w:tcPr>
          <w:p w14:paraId="1655C9A0" w14:textId="2A770B6A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772" w:type="dxa"/>
            <w:vAlign w:val="center"/>
          </w:tcPr>
          <w:p w14:paraId="40827CFF" w14:textId="7A8C22FC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276" w:type="dxa"/>
            <w:vAlign w:val="center"/>
          </w:tcPr>
          <w:p w14:paraId="0E4DE58D" w14:textId="315594E8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KOPĀ</w:t>
            </w:r>
          </w:p>
        </w:tc>
      </w:tr>
      <w:tr w:rsidR="008A6CB6" w:rsidRPr="008A6CB6" w14:paraId="3447765A" w14:textId="77777777" w:rsidTr="001E7832">
        <w:tc>
          <w:tcPr>
            <w:tcW w:w="3119" w:type="dxa"/>
            <w:gridSpan w:val="2"/>
            <w:shd w:val="clear" w:color="auto" w:fill="auto"/>
          </w:tcPr>
          <w:p w14:paraId="1548A883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417" w:type="dxa"/>
            <w:vAlign w:val="center"/>
          </w:tcPr>
          <w:p w14:paraId="1F755E44" w14:textId="70EF10DB" w:rsidR="0072016D" w:rsidRPr="0099106D" w:rsidRDefault="00231414" w:rsidP="0081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30 497</w:t>
            </w:r>
          </w:p>
        </w:tc>
        <w:tc>
          <w:tcPr>
            <w:tcW w:w="1063" w:type="dxa"/>
            <w:vAlign w:val="center"/>
          </w:tcPr>
          <w:p w14:paraId="74AE24C7" w14:textId="61FF9FCC" w:rsidR="0072016D" w:rsidRPr="00BE2025" w:rsidRDefault="009170B9" w:rsidP="00AB1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254 708</w:t>
            </w:r>
          </w:p>
        </w:tc>
        <w:tc>
          <w:tcPr>
            <w:tcW w:w="1772" w:type="dxa"/>
            <w:vAlign w:val="center"/>
          </w:tcPr>
          <w:p w14:paraId="57C5CA79" w14:textId="16A796A2" w:rsidR="0072016D" w:rsidRPr="008C49D5" w:rsidRDefault="008C49D5" w:rsidP="009170B9">
            <w:pPr>
              <w:jc w:val="center"/>
              <w:rPr>
                <w:b/>
                <w:sz w:val="20"/>
                <w:szCs w:val="20"/>
              </w:rPr>
            </w:pPr>
            <w:r w:rsidRPr="008C49D5">
              <w:rPr>
                <w:b/>
                <w:sz w:val="20"/>
                <w:szCs w:val="20"/>
              </w:rPr>
              <w:t>–</w:t>
            </w:r>
            <w:r w:rsidR="009170B9">
              <w:rPr>
                <w:b/>
                <w:sz w:val="20"/>
                <w:szCs w:val="20"/>
              </w:rPr>
              <w:t>202 035</w:t>
            </w:r>
            <w:r w:rsidRPr="008C49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9F55840" w14:textId="6213D3E0" w:rsidR="0072016D" w:rsidRPr="00FB5707" w:rsidRDefault="00231414" w:rsidP="0081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83 170</w:t>
            </w:r>
          </w:p>
        </w:tc>
      </w:tr>
      <w:tr w:rsidR="008A6CB6" w:rsidRPr="008A6CB6" w14:paraId="4D93548D" w14:textId="77777777" w:rsidTr="001E7832">
        <w:tc>
          <w:tcPr>
            <w:tcW w:w="1418" w:type="dxa"/>
            <w:vAlign w:val="center"/>
          </w:tcPr>
          <w:p w14:paraId="3494322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01.000.</w:t>
            </w:r>
          </w:p>
        </w:tc>
        <w:tc>
          <w:tcPr>
            <w:tcW w:w="1701" w:type="dxa"/>
            <w:vAlign w:val="center"/>
          </w:tcPr>
          <w:p w14:paraId="3454419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Vispārējie valdības dienesti</w:t>
            </w:r>
          </w:p>
        </w:tc>
        <w:tc>
          <w:tcPr>
            <w:tcW w:w="1417" w:type="dxa"/>
            <w:vAlign w:val="center"/>
          </w:tcPr>
          <w:p w14:paraId="1F64B4F1" w14:textId="0C73698A" w:rsidR="0072016D" w:rsidRPr="00C0084B" w:rsidRDefault="0016026A" w:rsidP="00C4727F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472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C4727F">
              <w:rPr>
                <w:sz w:val="20"/>
                <w:szCs w:val="20"/>
              </w:rPr>
              <w:t>874</w:t>
            </w:r>
          </w:p>
        </w:tc>
        <w:tc>
          <w:tcPr>
            <w:tcW w:w="1063" w:type="dxa"/>
            <w:vAlign w:val="center"/>
          </w:tcPr>
          <w:p w14:paraId="757E43C9" w14:textId="5C4756C8" w:rsidR="0072016D" w:rsidRPr="00C0084B" w:rsidRDefault="008B3261" w:rsidP="00AB1B8E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07FB65BE" w14:textId="1EFE56EE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27AD6E8" w14:textId="3DF21327" w:rsidR="0072016D" w:rsidRPr="00C0084B" w:rsidRDefault="00C4727F" w:rsidP="00810E6B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128 874</w:t>
            </w:r>
          </w:p>
        </w:tc>
      </w:tr>
      <w:tr w:rsidR="00FA586E" w:rsidRPr="008A6CB6" w14:paraId="3A9CFFF7" w14:textId="77777777" w:rsidTr="001E7832">
        <w:tc>
          <w:tcPr>
            <w:tcW w:w="1418" w:type="dxa"/>
            <w:vAlign w:val="center"/>
          </w:tcPr>
          <w:p w14:paraId="16C25620" w14:textId="341466DF" w:rsidR="00FA586E" w:rsidRPr="00C0084B" w:rsidRDefault="00FA586E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03.000.</w:t>
            </w:r>
          </w:p>
        </w:tc>
        <w:tc>
          <w:tcPr>
            <w:tcW w:w="1701" w:type="dxa"/>
            <w:vAlign w:val="center"/>
          </w:tcPr>
          <w:p w14:paraId="386EDA06" w14:textId="2556C187" w:rsidR="00FA586E" w:rsidRPr="00C0084B" w:rsidRDefault="00FA586E" w:rsidP="009C51A6">
            <w:pPr>
              <w:rPr>
                <w:sz w:val="20"/>
              </w:rPr>
            </w:pPr>
            <w:r>
              <w:rPr>
                <w:sz w:val="20"/>
              </w:rPr>
              <w:t>Sabiedriskā kārtība un drošība</w:t>
            </w:r>
          </w:p>
        </w:tc>
        <w:tc>
          <w:tcPr>
            <w:tcW w:w="1417" w:type="dxa"/>
            <w:vAlign w:val="center"/>
          </w:tcPr>
          <w:p w14:paraId="0FAEEE33" w14:textId="0C4B16C3" w:rsidR="00FA586E" w:rsidRPr="00C0084B" w:rsidRDefault="00FA586E" w:rsidP="008C49D5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4F4E215" w14:textId="37B4EB97" w:rsidR="00FA586E" w:rsidRDefault="00FA586E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01922B61" w14:textId="32BED4E6" w:rsidR="00FA586E" w:rsidRDefault="00FA586E" w:rsidP="009C5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120 952</w:t>
            </w:r>
          </w:p>
        </w:tc>
        <w:tc>
          <w:tcPr>
            <w:tcW w:w="1276" w:type="dxa"/>
            <w:vAlign w:val="center"/>
          </w:tcPr>
          <w:p w14:paraId="5F96E35B" w14:textId="5DFA5B9C" w:rsidR="00FA586E" w:rsidRDefault="00FA586E" w:rsidP="00F042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120 952</w:t>
            </w:r>
          </w:p>
        </w:tc>
      </w:tr>
      <w:tr w:rsidR="008A6CB6" w:rsidRPr="008A6CB6" w14:paraId="0C091FC3" w14:textId="77777777" w:rsidTr="001E7832">
        <w:tc>
          <w:tcPr>
            <w:tcW w:w="1418" w:type="dxa"/>
            <w:vAlign w:val="center"/>
          </w:tcPr>
          <w:p w14:paraId="3892326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04.000.</w:t>
            </w:r>
          </w:p>
        </w:tc>
        <w:tc>
          <w:tcPr>
            <w:tcW w:w="1701" w:type="dxa"/>
            <w:vAlign w:val="center"/>
          </w:tcPr>
          <w:p w14:paraId="5BA4EBAA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Ekonomiskā darbība</w:t>
            </w:r>
          </w:p>
        </w:tc>
        <w:tc>
          <w:tcPr>
            <w:tcW w:w="1417" w:type="dxa"/>
            <w:vAlign w:val="center"/>
          </w:tcPr>
          <w:p w14:paraId="60F1CCD2" w14:textId="2842C976" w:rsidR="0072016D" w:rsidRPr="00C0084B" w:rsidRDefault="008B3261" w:rsidP="008C49D5">
            <w:pPr>
              <w:ind w:left="360"/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8C49D5">
              <w:rPr>
                <w:sz w:val="20"/>
                <w:szCs w:val="20"/>
              </w:rPr>
              <w:t>28 207</w:t>
            </w:r>
            <w:r w:rsidR="00C008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vAlign w:val="center"/>
          </w:tcPr>
          <w:p w14:paraId="374B7BFE" w14:textId="59FA4756" w:rsidR="0072016D" w:rsidRPr="00C0084B" w:rsidRDefault="008C49D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28 207</w:t>
            </w:r>
          </w:p>
        </w:tc>
        <w:tc>
          <w:tcPr>
            <w:tcW w:w="1772" w:type="dxa"/>
            <w:vAlign w:val="center"/>
          </w:tcPr>
          <w:p w14:paraId="65E081BC" w14:textId="2DBFD8A2" w:rsidR="0072016D" w:rsidRPr="00C0084B" w:rsidRDefault="008C49D5" w:rsidP="009C5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0DDE78E" w14:textId="2FBED882" w:rsidR="0072016D" w:rsidRPr="00C0084B" w:rsidRDefault="008C49D5" w:rsidP="00F04268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6CB6" w:rsidRPr="008A6CB6" w14:paraId="3295A8F4" w14:textId="77777777" w:rsidTr="001E7832">
        <w:tc>
          <w:tcPr>
            <w:tcW w:w="1418" w:type="dxa"/>
            <w:vAlign w:val="center"/>
          </w:tcPr>
          <w:p w14:paraId="7907F8AA" w14:textId="7C939625" w:rsidR="0072016D" w:rsidRPr="00C0084B" w:rsidRDefault="0072016D" w:rsidP="008B3261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</w:t>
            </w:r>
            <w:r w:rsidR="008B3261">
              <w:rPr>
                <w:sz w:val="20"/>
              </w:rPr>
              <w:t>5</w:t>
            </w:r>
            <w:r w:rsidRPr="00C0084B">
              <w:rPr>
                <w:sz w:val="20"/>
              </w:rPr>
              <w:t>.000.</w:t>
            </w:r>
          </w:p>
        </w:tc>
        <w:tc>
          <w:tcPr>
            <w:tcW w:w="1701" w:type="dxa"/>
            <w:vAlign w:val="center"/>
          </w:tcPr>
          <w:p w14:paraId="41DB9D33" w14:textId="64DC4E08" w:rsidR="0072016D" w:rsidRPr="00C0084B" w:rsidRDefault="008B3261" w:rsidP="009C51A6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417" w:type="dxa"/>
            <w:vAlign w:val="center"/>
          </w:tcPr>
          <w:p w14:paraId="212A88B8" w14:textId="5FE401DD" w:rsidR="0072016D" w:rsidRPr="00C0084B" w:rsidRDefault="008B3261" w:rsidP="00F371B5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7CBB07D" w14:textId="1E488A07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5C3EADB6" w14:textId="1ECF4578" w:rsidR="0072016D" w:rsidRPr="00C0084B" w:rsidRDefault="001E7832" w:rsidP="007A181E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7A181E">
              <w:rPr>
                <w:sz w:val="20"/>
                <w:szCs w:val="20"/>
              </w:rPr>
              <w:t>395 424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B9AF429" w14:textId="35A39B4A" w:rsidR="0072016D" w:rsidRPr="00C0084B" w:rsidRDefault="00D716C2" w:rsidP="007A181E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7A181E">
              <w:rPr>
                <w:sz w:val="20"/>
                <w:szCs w:val="20"/>
              </w:rPr>
              <w:t>395 424</w:t>
            </w:r>
            <w:r w:rsidRPr="00C0084B">
              <w:rPr>
                <w:sz w:val="20"/>
                <w:szCs w:val="20"/>
              </w:rPr>
              <w:t> </w:t>
            </w:r>
          </w:p>
        </w:tc>
      </w:tr>
      <w:tr w:rsidR="0016026A" w:rsidRPr="008A6CB6" w14:paraId="24A69BE2" w14:textId="77777777" w:rsidTr="001E7832">
        <w:tc>
          <w:tcPr>
            <w:tcW w:w="1418" w:type="dxa"/>
            <w:vAlign w:val="center"/>
          </w:tcPr>
          <w:p w14:paraId="79FF3BAD" w14:textId="26B6E90C" w:rsidR="0016026A" w:rsidRDefault="0016026A" w:rsidP="008B3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06.000.</w:t>
            </w:r>
          </w:p>
        </w:tc>
        <w:tc>
          <w:tcPr>
            <w:tcW w:w="1701" w:type="dxa"/>
            <w:vAlign w:val="center"/>
          </w:tcPr>
          <w:p w14:paraId="4FA152FC" w14:textId="797C4438" w:rsidR="0016026A" w:rsidRDefault="0016026A" w:rsidP="009C51A6">
            <w:pPr>
              <w:rPr>
                <w:sz w:val="20"/>
              </w:rPr>
            </w:pPr>
            <w:r>
              <w:rPr>
                <w:sz w:val="20"/>
              </w:rPr>
              <w:t>Teritoriju un mājokļu apsaimniekošana</w:t>
            </w:r>
          </w:p>
        </w:tc>
        <w:tc>
          <w:tcPr>
            <w:tcW w:w="1417" w:type="dxa"/>
            <w:vAlign w:val="center"/>
          </w:tcPr>
          <w:p w14:paraId="7AF96031" w14:textId="2F521673" w:rsidR="0016026A" w:rsidRDefault="0016026A" w:rsidP="00F371B5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37 334</w:t>
            </w:r>
          </w:p>
        </w:tc>
        <w:tc>
          <w:tcPr>
            <w:tcW w:w="1063" w:type="dxa"/>
            <w:vAlign w:val="center"/>
          </w:tcPr>
          <w:p w14:paraId="4BEC1F0D" w14:textId="7B340839" w:rsidR="0016026A" w:rsidRDefault="0016026A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3C701B40" w14:textId="162C79BB" w:rsidR="0016026A" w:rsidRDefault="0016026A" w:rsidP="009C5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D244D0" w14:textId="4346BAB3" w:rsidR="0016026A" w:rsidRDefault="0016026A" w:rsidP="008B3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37 334</w:t>
            </w:r>
          </w:p>
        </w:tc>
      </w:tr>
      <w:tr w:rsidR="009273BF" w:rsidRPr="008A6CB6" w14:paraId="4100B77B" w14:textId="77777777" w:rsidTr="001E7832">
        <w:tc>
          <w:tcPr>
            <w:tcW w:w="1418" w:type="dxa"/>
            <w:vAlign w:val="center"/>
          </w:tcPr>
          <w:p w14:paraId="76DE64BC" w14:textId="538BC971" w:rsidR="009273BF" w:rsidRPr="00C0084B" w:rsidRDefault="009273BF" w:rsidP="008B3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07.000.</w:t>
            </w:r>
          </w:p>
        </w:tc>
        <w:tc>
          <w:tcPr>
            <w:tcW w:w="1701" w:type="dxa"/>
            <w:vAlign w:val="center"/>
          </w:tcPr>
          <w:p w14:paraId="4CCB799B" w14:textId="249FAC73" w:rsidR="009273BF" w:rsidRDefault="009273BF" w:rsidP="009C51A6">
            <w:pPr>
              <w:rPr>
                <w:sz w:val="20"/>
              </w:rPr>
            </w:pPr>
            <w:r>
              <w:rPr>
                <w:sz w:val="20"/>
              </w:rPr>
              <w:t>Veselība</w:t>
            </w:r>
          </w:p>
        </w:tc>
        <w:tc>
          <w:tcPr>
            <w:tcW w:w="1417" w:type="dxa"/>
            <w:vAlign w:val="center"/>
          </w:tcPr>
          <w:p w14:paraId="35050C25" w14:textId="1CA77D3D" w:rsidR="009273BF" w:rsidRDefault="009273BF" w:rsidP="00F371B5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DAFC34E" w14:textId="607C4F3F" w:rsidR="009273BF" w:rsidRDefault="009273BF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7AE45555" w14:textId="1BF905AC" w:rsidR="009273BF" w:rsidRDefault="009273BF" w:rsidP="009C5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24AAA174" w14:textId="3B5B4C89" w:rsidR="009273BF" w:rsidRDefault="009273BF" w:rsidP="008B3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A6CB6" w:rsidRPr="008A6CB6" w14:paraId="73AD1BE7" w14:textId="77777777" w:rsidTr="001E7832">
        <w:tc>
          <w:tcPr>
            <w:tcW w:w="1418" w:type="dxa"/>
            <w:vAlign w:val="center"/>
          </w:tcPr>
          <w:p w14:paraId="327F6D6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08.000.</w:t>
            </w:r>
          </w:p>
        </w:tc>
        <w:tc>
          <w:tcPr>
            <w:tcW w:w="1701" w:type="dxa"/>
            <w:vAlign w:val="center"/>
          </w:tcPr>
          <w:p w14:paraId="5D943326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Atpūta, kultūra un reliģija</w:t>
            </w:r>
          </w:p>
        </w:tc>
        <w:tc>
          <w:tcPr>
            <w:tcW w:w="1417" w:type="dxa"/>
            <w:vAlign w:val="center"/>
          </w:tcPr>
          <w:p w14:paraId="197B1DE3" w14:textId="4D4779D4" w:rsidR="0072016D" w:rsidRPr="00C0084B" w:rsidRDefault="003E15DE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063" w:type="dxa"/>
            <w:vAlign w:val="center"/>
          </w:tcPr>
          <w:p w14:paraId="23364237" w14:textId="1C6EBE01" w:rsidR="0072016D" w:rsidRPr="00C0084B" w:rsidRDefault="008C49D5" w:rsidP="00D13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17 334</w:t>
            </w:r>
          </w:p>
        </w:tc>
        <w:tc>
          <w:tcPr>
            <w:tcW w:w="1772" w:type="dxa"/>
            <w:vAlign w:val="center"/>
          </w:tcPr>
          <w:p w14:paraId="73970D05" w14:textId="2F1043BA" w:rsidR="0072016D" w:rsidRPr="00C0084B" w:rsidRDefault="008C49D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4DB7F3E" w14:textId="55AB434D" w:rsidR="0072016D" w:rsidRPr="00C0084B" w:rsidRDefault="008C49D5" w:rsidP="003E15D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 w:rsidR="003E15DE">
              <w:rPr>
                <w:sz w:val="20"/>
              </w:rPr>
              <w:t>533</w:t>
            </w:r>
          </w:p>
        </w:tc>
      </w:tr>
      <w:tr w:rsidR="008A6CB6" w:rsidRPr="008A6CB6" w14:paraId="64F57972" w14:textId="77777777" w:rsidTr="001E7832">
        <w:tc>
          <w:tcPr>
            <w:tcW w:w="1418" w:type="dxa"/>
            <w:vAlign w:val="center"/>
          </w:tcPr>
          <w:p w14:paraId="53145777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09.000.</w:t>
            </w:r>
          </w:p>
        </w:tc>
        <w:tc>
          <w:tcPr>
            <w:tcW w:w="1701" w:type="dxa"/>
            <w:vAlign w:val="center"/>
          </w:tcPr>
          <w:p w14:paraId="4E6C557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Izglītība</w:t>
            </w:r>
          </w:p>
        </w:tc>
        <w:tc>
          <w:tcPr>
            <w:tcW w:w="1417" w:type="dxa"/>
            <w:vAlign w:val="center"/>
          </w:tcPr>
          <w:p w14:paraId="2D17528E" w14:textId="554DCBE2" w:rsidR="0072016D" w:rsidRPr="00C0084B" w:rsidRDefault="008C49D5" w:rsidP="00C4727F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19</w:t>
            </w:r>
            <w:r w:rsidR="00C472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C4727F">
              <w:rPr>
                <w:sz w:val="20"/>
                <w:szCs w:val="20"/>
              </w:rPr>
              <w:t>437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vAlign w:val="center"/>
          </w:tcPr>
          <w:p w14:paraId="72C6DE62" w14:textId="78000898" w:rsidR="0072016D" w:rsidRPr="00C0084B" w:rsidRDefault="008C49D5" w:rsidP="009170B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9170B9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="009170B9">
              <w:rPr>
                <w:sz w:val="20"/>
              </w:rPr>
              <w:t>167</w:t>
            </w:r>
          </w:p>
        </w:tc>
        <w:tc>
          <w:tcPr>
            <w:tcW w:w="1772" w:type="dxa"/>
            <w:vAlign w:val="center"/>
          </w:tcPr>
          <w:p w14:paraId="524E5CC5" w14:textId="7C74F553" w:rsidR="0072016D" w:rsidRPr="00C0084B" w:rsidRDefault="008C49D5" w:rsidP="009170B9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9170B9">
              <w:rPr>
                <w:sz w:val="20"/>
                <w:szCs w:val="20"/>
              </w:rPr>
              <w:t>202 035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349E57C" w14:textId="2BA82757" w:rsidR="0072016D" w:rsidRPr="00C0084B" w:rsidRDefault="008C49D5" w:rsidP="00C4727F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18</w:t>
            </w:r>
            <w:r w:rsidR="00C472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C4727F">
              <w:rPr>
                <w:sz w:val="20"/>
                <w:szCs w:val="20"/>
              </w:rPr>
              <w:t>305</w:t>
            </w:r>
            <w:r w:rsidRPr="00C0084B">
              <w:rPr>
                <w:sz w:val="20"/>
                <w:szCs w:val="20"/>
              </w:rPr>
              <w:t> </w:t>
            </w:r>
          </w:p>
        </w:tc>
      </w:tr>
      <w:tr w:rsidR="008A6CB6" w:rsidRPr="008A6CB6" w14:paraId="5083D279" w14:textId="77777777" w:rsidTr="001E7832">
        <w:tc>
          <w:tcPr>
            <w:tcW w:w="1418" w:type="dxa"/>
            <w:vAlign w:val="center"/>
          </w:tcPr>
          <w:p w14:paraId="3840FB7B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lastRenderedPageBreak/>
              <w:t>10.000.</w:t>
            </w:r>
          </w:p>
        </w:tc>
        <w:tc>
          <w:tcPr>
            <w:tcW w:w="1701" w:type="dxa"/>
            <w:vAlign w:val="center"/>
          </w:tcPr>
          <w:p w14:paraId="2FFC7B32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Sociālā aizsardzība</w:t>
            </w:r>
          </w:p>
        </w:tc>
        <w:tc>
          <w:tcPr>
            <w:tcW w:w="1417" w:type="dxa"/>
            <w:vAlign w:val="center"/>
          </w:tcPr>
          <w:p w14:paraId="040EFB05" w14:textId="4F960242" w:rsidR="0072016D" w:rsidRPr="00C0084B" w:rsidRDefault="00D716C2" w:rsidP="00C472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86 </w:t>
            </w:r>
            <w:r w:rsidR="00C4727F">
              <w:rPr>
                <w:sz w:val="20"/>
              </w:rPr>
              <w:t>734</w:t>
            </w:r>
          </w:p>
        </w:tc>
        <w:tc>
          <w:tcPr>
            <w:tcW w:w="1063" w:type="dxa"/>
            <w:vAlign w:val="center"/>
          </w:tcPr>
          <w:p w14:paraId="4DC097BA" w14:textId="442AEB92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0899B26" w14:textId="403B3569" w:rsidR="0072016D" w:rsidRPr="00C0084B" w:rsidRDefault="001E7832" w:rsidP="001E7832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274 272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6A12062D" w14:textId="0E67CB76" w:rsidR="0072016D" w:rsidRPr="00C0084B" w:rsidRDefault="00C4727F" w:rsidP="009273BF">
            <w:pPr>
              <w:jc w:val="right"/>
              <w:rPr>
                <w:sz w:val="20"/>
              </w:rPr>
            </w:pPr>
            <w:r>
              <w:rPr>
                <w:sz w:val="20"/>
              </w:rPr>
              <w:t>361 006</w:t>
            </w:r>
          </w:p>
        </w:tc>
      </w:tr>
      <w:tr w:rsidR="008A6CB6" w:rsidRPr="008A6CB6" w14:paraId="2D3FCC8B" w14:textId="77777777" w:rsidTr="001E7832">
        <w:tc>
          <w:tcPr>
            <w:tcW w:w="3119" w:type="dxa"/>
            <w:gridSpan w:val="2"/>
            <w:vAlign w:val="center"/>
          </w:tcPr>
          <w:p w14:paraId="6C2E5BE6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II. Finansēšana</w:t>
            </w:r>
          </w:p>
        </w:tc>
        <w:tc>
          <w:tcPr>
            <w:tcW w:w="1417" w:type="dxa"/>
            <w:vAlign w:val="center"/>
          </w:tcPr>
          <w:p w14:paraId="49886EA1" w14:textId="216E991F" w:rsidR="0072016D" w:rsidRPr="00C0084B" w:rsidRDefault="00FB570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208FBDF" w14:textId="5B4049E0" w:rsidR="0072016D" w:rsidRPr="00C0084B" w:rsidRDefault="00BE202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7DB34445" w14:textId="1E9DFAB6" w:rsidR="0072016D" w:rsidRPr="00C0084B" w:rsidRDefault="008C49D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14EF5FD" w14:textId="18D2DC8D" w:rsidR="0072016D" w:rsidRPr="00C0084B" w:rsidRDefault="008C49D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8A6CB6" w:rsidRPr="008A6CB6" w14:paraId="0F8D2528" w14:textId="77777777" w:rsidTr="001E7832">
        <w:tc>
          <w:tcPr>
            <w:tcW w:w="3119" w:type="dxa"/>
            <w:gridSpan w:val="2"/>
            <w:vAlign w:val="center"/>
          </w:tcPr>
          <w:p w14:paraId="7A3D9CA6" w14:textId="6DD0893D" w:rsidR="00D13882" w:rsidRPr="00C0084B" w:rsidRDefault="008B3261" w:rsidP="008C49D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Akcijas un cita līdzdalība komersantu pašu kapitālā </w:t>
            </w:r>
          </w:p>
        </w:tc>
        <w:tc>
          <w:tcPr>
            <w:tcW w:w="1417" w:type="dxa"/>
            <w:vAlign w:val="center"/>
          </w:tcPr>
          <w:p w14:paraId="28AF8E28" w14:textId="686B088A" w:rsidR="00D13882" w:rsidRPr="00C0084B" w:rsidRDefault="00A9100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1ED6620" w14:textId="6D3373B7" w:rsidR="00D13882" w:rsidRPr="00F04268" w:rsidRDefault="00A9100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3B73D269" w14:textId="490FAE45" w:rsidR="00D13882" w:rsidRPr="00F04268" w:rsidRDefault="008C49D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55BD87D" w14:textId="2625A818" w:rsidR="00D13882" w:rsidRPr="00C0084B" w:rsidRDefault="008C49D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2016D" w:rsidRPr="008A6CB6" w14:paraId="2A08AD6A" w14:textId="77777777" w:rsidTr="001E7832">
        <w:tc>
          <w:tcPr>
            <w:tcW w:w="3119" w:type="dxa"/>
            <w:gridSpan w:val="2"/>
            <w:vAlign w:val="center"/>
          </w:tcPr>
          <w:p w14:paraId="5C40D13B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PAVISAM IZDEVUMI</w:t>
            </w:r>
          </w:p>
        </w:tc>
        <w:tc>
          <w:tcPr>
            <w:tcW w:w="1417" w:type="dxa"/>
            <w:vAlign w:val="center"/>
          </w:tcPr>
          <w:p w14:paraId="3DA7BC05" w14:textId="6086DC89" w:rsidR="0072016D" w:rsidRPr="008C49D5" w:rsidRDefault="00231414" w:rsidP="0081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30 497</w:t>
            </w:r>
          </w:p>
        </w:tc>
        <w:tc>
          <w:tcPr>
            <w:tcW w:w="1063" w:type="dxa"/>
            <w:vAlign w:val="center"/>
          </w:tcPr>
          <w:p w14:paraId="66E4E1C2" w14:textId="6FF89922" w:rsidR="0072016D" w:rsidRPr="00BE2025" w:rsidRDefault="00AE0408" w:rsidP="00AB1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254 708</w:t>
            </w:r>
          </w:p>
        </w:tc>
        <w:tc>
          <w:tcPr>
            <w:tcW w:w="1772" w:type="dxa"/>
            <w:vAlign w:val="center"/>
          </w:tcPr>
          <w:p w14:paraId="75B5B66D" w14:textId="3ACE8DE2" w:rsidR="0072016D" w:rsidRPr="00C0084B" w:rsidRDefault="008C49D5" w:rsidP="00AE0408">
            <w:pPr>
              <w:jc w:val="center"/>
              <w:rPr>
                <w:b/>
                <w:sz w:val="20"/>
              </w:rPr>
            </w:pPr>
            <w:r w:rsidRPr="008C49D5">
              <w:rPr>
                <w:b/>
                <w:sz w:val="20"/>
                <w:szCs w:val="20"/>
              </w:rPr>
              <w:t>–</w:t>
            </w:r>
            <w:r w:rsidR="00AE0408">
              <w:rPr>
                <w:b/>
                <w:sz w:val="20"/>
                <w:szCs w:val="20"/>
              </w:rPr>
              <w:t>202 035</w:t>
            </w:r>
            <w:r w:rsidRPr="008C49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57246377" w14:textId="787FA5AA" w:rsidR="0072016D" w:rsidRPr="008C49D5" w:rsidRDefault="00960C9F" w:rsidP="0081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83 170</w:t>
            </w:r>
          </w:p>
        </w:tc>
      </w:tr>
    </w:tbl>
    <w:p w14:paraId="29F1858A" w14:textId="77777777" w:rsidR="0072016D" w:rsidRDefault="0072016D" w:rsidP="0072016D">
      <w:pPr>
        <w:jc w:val="both"/>
        <w:rPr>
          <w:color w:val="FF0000"/>
        </w:rPr>
      </w:pPr>
    </w:p>
    <w:p w14:paraId="17F27CD4" w14:textId="77777777" w:rsidR="00DD539E" w:rsidRDefault="00DD539E" w:rsidP="0072016D">
      <w:pPr>
        <w:jc w:val="both"/>
        <w:rPr>
          <w:color w:val="FF0000"/>
        </w:rPr>
      </w:pPr>
    </w:p>
    <w:p w14:paraId="6D0F9DCB" w14:textId="674CC9BD" w:rsidR="008C49D5" w:rsidRDefault="0072016D" w:rsidP="008A4E4F">
      <w:pPr>
        <w:jc w:val="both"/>
      </w:pPr>
      <w:r w:rsidRPr="007B3508">
        <w:rPr>
          <w:b/>
        </w:rPr>
        <w:t xml:space="preserve">01.000. Vispārējie valdības dienesti </w:t>
      </w:r>
      <w:r w:rsidRPr="007B3508">
        <w:t xml:space="preserve">– izdevumi </w:t>
      </w:r>
      <w:r w:rsidRPr="007B3508">
        <w:rPr>
          <w:i/>
        </w:rPr>
        <w:t xml:space="preserve">tiek </w:t>
      </w:r>
      <w:r w:rsidR="008C49D5">
        <w:rPr>
          <w:i/>
        </w:rPr>
        <w:t>palielināti</w:t>
      </w:r>
      <w:r w:rsidRPr="007B3508">
        <w:rPr>
          <w:i/>
        </w:rPr>
        <w:t xml:space="preserve"> </w:t>
      </w:r>
      <w:r w:rsidRPr="007B3508">
        <w:t xml:space="preserve">par </w:t>
      </w:r>
      <w:r w:rsidR="00A01498">
        <w:rPr>
          <w:b/>
        </w:rPr>
        <w:t>12</w:t>
      </w:r>
      <w:r w:rsidR="00384641">
        <w:rPr>
          <w:b/>
        </w:rPr>
        <w:t>8</w:t>
      </w:r>
      <w:r w:rsidR="00A01498">
        <w:rPr>
          <w:b/>
        </w:rPr>
        <w:t xml:space="preserve"> </w:t>
      </w:r>
      <w:r w:rsidR="00384641">
        <w:rPr>
          <w:b/>
        </w:rPr>
        <w:t>8</w:t>
      </w:r>
      <w:r w:rsidR="00A01498">
        <w:rPr>
          <w:b/>
        </w:rPr>
        <w:t>74</w:t>
      </w:r>
      <w:r w:rsidR="008C49D5">
        <w:rPr>
          <w:b/>
          <w:sz w:val="20"/>
          <w:szCs w:val="20"/>
        </w:rPr>
        <w:t xml:space="preserve"> </w:t>
      </w:r>
      <w:r w:rsidRPr="007B3508">
        <w:rPr>
          <w:b/>
        </w:rPr>
        <w:t> </w:t>
      </w:r>
      <w:proofErr w:type="spellStart"/>
      <w:r w:rsidRPr="007B3508">
        <w:rPr>
          <w:b/>
          <w:i/>
        </w:rPr>
        <w:t>euro</w:t>
      </w:r>
      <w:proofErr w:type="spellEnd"/>
      <w:r w:rsidR="00444A88">
        <w:rPr>
          <w:b/>
          <w:i/>
        </w:rPr>
        <w:t xml:space="preserve"> </w:t>
      </w:r>
      <w:r w:rsidR="008C49D5">
        <w:t>t.sk.</w:t>
      </w:r>
    </w:p>
    <w:p w14:paraId="40F35983" w14:textId="6A272416" w:rsidR="008C49D5" w:rsidRDefault="008C49D5" w:rsidP="008C49D5">
      <w:pPr>
        <w:pStyle w:val="ListParagraph"/>
        <w:numPr>
          <w:ilvl w:val="0"/>
          <w:numId w:val="26"/>
        </w:numPr>
        <w:tabs>
          <w:tab w:val="left" w:pos="993"/>
        </w:tabs>
        <w:jc w:val="both"/>
      </w:pPr>
      <w:r>
        <w:t>13</w:t>
      </w:r>
      <w:r w:rsidR="00384641">
        <w:t>8</w:t>
      </w:r>
      <w:r>
        <w:t> </w:t>
      </w:r>
      <w:r w:rsidR="00384641">
        <w:t>2</w:t>
      </w:r>
      <w:r>
        <w:t xml:space="preserve">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papildu dotācija </w:t>
      </w:r>
      <w:proofErr w:type="spellStart"/>
      <w:r w:rsidR="009273BF">
        <w:t>t</w:t>
      </w:r>
      <w:r w:rsidRPr="008C49D5">
        <w:t>ransferti</w:t>
      </w:r>
      <w:r w:rsidR="009273BF">
        <w:t>em</w:t>
      </w:r>
      <w:proofErr w:type="spellEnd"/>
      <w:r w:rsidRPr="008C49D5">
        <w:t xml:space="preserve"> citām pašvaldībām izglītības funkciju nodrošināšanai</w:t>
      </w:r>
      <w:r w:rsidR="009273BF">
        <w:t xml:space="preserve"> (iekšējie grozījumi starp Izglītības nozares tāmēm) (tāme 01.831.),</w:t>
      </w:r>
    </w:p>
    <w:p w14:paraId="0AE56F25" w14:textId="78E21F37" w:rsidR="0072016D" w:rsidRPr="00114B5C" w:rsidRDefault="00A01498" w:rsidP="008A4E4F">
      <w:pPr>
        <w:pStyle w:val="ListParagraph"/>
        <w:numPr>
          <w:ilvl w:val="0"/>
          <w:numId w:val="26"/>
        </w:numPr>
        <w:tabs>
          <w:tab w:val="left" w:pos="993"/>
        </w:tabs>
        <w:jc w:val="both"/>
      </w:pPr>
      <w:r w:rsidRPr="00C0084B">
        <w:rPr>
          <w:sz w:val="20"/>
          <w:szCs w:val="20"/>
        </w:rPr>
        <w:t>–</w:t>
      </w:r>
      <w:r>
        <w:t xml:space="preserve">9326 </w:t>
      </w:r>
      <w:r w:rsidR="009273BF">
        <w:t xml:space="preserve"> </w:t>
      </w:r>
      <w:proofErr w:type="spellStart"/>
      <w:r w:rsidR="009273BF" w:rsidRPr="009273BF">
        <w:rPr>
          <w:i/>
        </w:rPr>
        <w:t>euro</w:t>
      </w:r>
      <w:proofErr w:type="spellEnd"/>
      <w:r w:rsidR="009273BF" w:rsidRPr="009273BF">
        <w:rPr>
          <w:i/>
        </w:rPr>
        <w:t xml:space="preserve"> </w:t>
      </w:r>
      <w:r w:rsidR="009273BF" w:rsidRPr="007B3508">
        <w:t>–</w:t>
      </w:r>
      <w:r w:rsidR="009273BF">
        <w:t xml:space="preserve"> </w:t>
      </w:r>
      <w:r>
        <w:t>samazināti līdzekļi</w:t>
      </w:r>
      <w:r w:rsidR="009273BF">
        <w:t xml:space="preserve"> </w:t>
      </w:r>
      <w:r w:rsidR="00444A88" w:rsidRPr="00754FD7">
        <w:t xml:space="preserve">programmai </w:t>
      </w:r>
      <w:r w:rsidR="00444A88" w:rsidRPr="009273BF">
        <w:rPr>
          <w:b/>
        </w:rPr>
        <w:t>“Līdzekļi neparedzētiem gadījumiem”</w:t>
      </w:r>
      <w:r>
        <w:t>, kas novirzīti uz citām izdevumu tāmēm</w:t>
      </w:r>
      <w:r w:rsidR="00967A00" w:rsidRPr="009273BF">
        <w:rPr>
          <w:b/>
        </w:rPr>
        <w:t xml:space="preserve"> </w:t>
      </w:r>
      <w:r w:rsidR="00967A00" w:rsidRPr="00967A00">
        <w:t>(tāme 01.890.)</w:t>
      </w:r>
      <w:r w:rsidR="00A340B2">
        <w:t>.</w:t>
      </w:r>
    </w:p>
    <w:p w14:paraId="1EE58D59" w14:textId="77777777" w:rsidR="0072016D" w:rsidRPr="007B3508" w:rsidRDefault="0072016D" w:rsidP="0072016D">
      <w:pPr>
        <w:jc w:val="both"/>
        <w:rPr>
          <w:b/>
        </w:rPr>
      </w:pPr>
    </w:p>
    <w:p w14:paraId="61F53E17" w14:textId="5C38C2B7" w:rsidR="00A07FDF" w:rsidRDefault="00A07FDF" w:rsidP="0072016D">
      <w:pPr>
        <w:jc w:val="both"/>
      </w:pPr>
      <w:r>
        <w:rPr>
          <w:b/>
        </w:rPr>
        <w:t xml:space="preserve">03.000. Sabiedriskā kārtība un drošība </w:t>
      </w:r>
      <w:r w:rsidRPr="007B3508">
        <w:t xml:space="preserve">– izdevumi </w:t>
      </w:r>
      <w:r w:rsidRPr="007B3508">
        <w:rPr>
          <w:i/>
        </w:rPr>
        <w:t xml:space="preserve">tiek </w:t>
      </w:r>
      <w:r>
        <w:rPr>
          <w:i/>
        </w:rPr>
        <w:t>palielināti</w:t>
      </w:r>
      <w:r w:rsidRPr="007B3508">
        <w:rPr>
          <w:i/>
        </w:rPr>
        <w:t xml:space="preserve"> </w:t>
      </w:r>
      <w:r w:rsidRPr="007B3508">
        <w:t xml:space="preserve">par </w:t>
      </w:r>
      <w:r>
        <w:rPr>
          <w:b/>
        </w:rPr>
        <w:t>120 952</w:t>
      </w:r>
      <w:r>
        <w:rPr>
          <w:b/>
          <w:sz w:val="20"/>
          <w:szCs w:val="20"/>
        </w:rPr>
        <w:t xml:space="preserve"> </w:t>
      </w:r>
      <w:r w:rsidRPr="007B3508">
        <w:rPr>
          <w:b/>
        </w:rPr>
        <w:t> </w:t>
      </w:r>
      <w:proofErr w:type="spellStart"/>
      <w:r w:rsidRPr="007B3508">
        <w:rPr>
          <w:b/>
          <w:i/>
        </w:rPr>
        <w:t>euro</w:t>
      </w:r>
      <w:proofErr w:type="spellEnd"/>
      <w:r>
        <w:t xml:space="preserve">, kas ir LR </w:t>
      </w:r>
      <w:proofErr w:type="spellStart"/>
      <w:r w:rsidRPr="00397C4B">
        <w:t>Iekšlietu</w:t>
      </w:r>
      <w:proofErr w:type="spellEnd"/>
      <w:r w:rsidRPr="00397C4B">
        <w:t xml:space="preserve"> ministrijas Informācijas centra finansējums Eiropas Savienības Atveseļošanas un noturības mehānisma projekta </w:t>
      </w:r>
      <w:r>
        <w:t>“</w:t>
      </w:r>
      <w:r w:rsidRPr="00397C4B">
        <w:t>Vienota kontaktu centra platformas (112) un Elektronisko notikumu žurnālu valsts un pašvaldību līmenī integrācija</w:t>
      </w:r>
      <w:r>
        <w:t>”</w:t>
      </w:r>
      <w:r w:rsidRPr="00397C4B">
        <w:t xml:space="preserve"> īstenošanai</w:t>
      </w:r>
      <w:r>
        <w:t>.</w:t>
      </w:r>
    </w:p>
    <w:p w14:paraId="36A4680E" w14:textId="77777777" w:rsidR="00A07FDF" w:rsidRPr="00A07FDF" w:rsidRDefault="00A07FDF" w:rsidP="0072016D">
      <w:pPr>
        <w:jc w:val="both"/>
      </w:pPr>
    </w:p>
    <w:p w14:paraId="3522D413" w14:textId="39BA941C" w:rsidR="00FA0DFF" w:rsidRDefault="00FA0DFF" w:rsidP="0072016D">
      <w:pPr>
        <w:jc w:val="both"/>
        <w:rPr>
          <w:b/>
        </w:rPr>
      </w:pPr>
      <w:r>
        <w:rPr>
          <w:b/>
        </w:rPr>
        <w:t xml:space="preserve">05.000. Vides aizsardzība </w:t>
      </w:r>
      <w:r w:rsidR="00B25D4C" w:rsidRPr="00276FDD">
        <w:t xml:space="preserve">izdevumi </w:t>
      </w:r>
      <w:r w:rsidR="00B25D4C" w:rsidRPr="00276FDD">
        <w:rPr>
          <w:i/>
        </w:rPr>
        <w:t xml:space="preserve">tiek </w:t>
      </w:r>
      <w:r w:rsidR="00B25D4C">
        <w:rPr>
          <w:i/>
        </w:rPr>
        <w:t>samazināti</w:t>
      </w:r>
      <w:r w:rsidR="00B25D4C" w:rsidRPr="00276FDD">
        <w:rPr>
          <w:i/>
        </w:rPr>
        <w:t xml:space="preserve"> </w:t>
      </w:r>
      <w:r w:rsidR="00B25D4C" w:rsidRPr="00276FDD">
        <w:t xml:space="preserve">par </w:t>
      </w:r>
      <w:r w:rsidR="00B25D4C" w:rsidRPr="00330E8A">
        <w:t>–</w:t>
      </w:r>
      <w:r w:rsidR="00635698">
        <w:rPr>
          <w:b/>
        </w:rPr>
        <w:t>395 424</w:t>
      </w:r>
      <w:r w:rsidR="00B25D4C" w:rsidRPr="00276FDD">
        <w:rPr>
          <w:b/>
        </w:rPr>
        <w:t> </w:t>
      </w:r>
      <w:proofErr w:type="spellStart"/>
      <w:r w:rsidR="00B25D4C" w:rsidRPr="00276FDD">
        <w:rPr>
          <w:b/>
          <w:i/>
        </w:rPr>
        <w:t>euro</w:t>
      </w:r>
      <w:proofErr w:type="spellEnd"/>
      <w:r w:rsidR="00B25D4C" w:rsidRPr="00276FDD">
        <w:t>,</w:t>
      </w:r>
      <w:r w:rsidR="00B25D4C">
        <w:t xml:space="preserve"> kas ir </w:t>
      </w:r>
      <w:r w:rsidR="00B25D4C" w:rsidRPr="00177283">
        <w:t>VARAM finansējums, lai segtu izdevumus saistībā ar 2024.</w:t>
      </w:r>
      <w:r w:rsidR="00B25D4C">
        <w:t> </w:t>
      </w:r>
      <w:r w:rsidR="00B25D4C" w:rsidRPr="00177283">
        <w:t>gada 28. un 29.</w:t>
      </w:r>
      <w:r w:rsidR="00B25D4C">
        <w:t> </w:t>
      </w:r>
      <w:r w:rsidR="00B25D4C" w:rsidRPr="00177283">
        <w:t>jūlij</w:t>
      </w:r>
      <w:r w:rsidR="00B25D4C">
        <w:t>a</w:t>
      </w:r>
      <w:r w:rsidR="00B25D4C" w:rsidRPr="00177283">
        <w:t xml:space="preserve"> vētras un spēcīgo lietavu laikā radīto postījumu novēršanu</w:t>
      </w:r>
      <w:r w:rsidR="00B25D4C">
        <w:t xml:space="preserve"> </w:t>
      </w:r>
      <w:r w:rsidR="002B0E95">
        <w:t xml:space="preserve">un </w:t>
      </w:r>
      <w:r w:rsidR="00577D4E">
        <w:t xml:space="preserve">šis finansējums </w:t>
      </w:r>
      <w:r w:rsidR="002B0E95">
        <w:t>pārvirzīt</w:t>
      </w:r>
      <w:r w:rsidR="00577D4E">
        <w:t>s</w:t>
      </w:r>
      <w:r w:rsidR="002B0E95">
        <w:t xml:space="preserve">  </w:t>
      </w:r>
      <w:r w:rsidR="00577D4E">
        <w:t>iedzīvotāju pabalstu izmaksai plūdu seku novēršanai</w:t>
      </w:r>
      <w:r w:rsidR="002B0E95">
        <w:t xml:space="preserve"> </w:t>
      </w:r>
      <w:r w:rsidR="00577D4E">
        <w:t>(</w:t>
      </w:r>
      <w:r w:rsidR="00B25D4C" w:rsidRPr="00584382">
        <w:rPr>
          <w:b/>
        </w:rPr>
        <w:t>tām</w:t>
      </w:r>
      <w:r w:rsidR="00577D4E">
        <w:rPr>
          <w:b/>
        </w:rPr>
        <w:t>e</w:t>
      </w:r>
      <w:r w:rsidR="00B25D4C" w:rsidRPr="00584382">
        <w:rPr>
          <w:b/>
        </w:rPr>
        <w:t xml:space="preserve"> 05.202. “Notekūdeņu apsaimniekošana”</w:t>
      </w:r>
      <w:r w:rsidR="00B25D4C">
        <w:t>)</w:t>
      </w:r>
      <w:r w:rsidR="00A340B2">
        <w:t>.</w:t>
      </w:r>
    </w:p>
    <w:p w14:paraId="395323A4" w14:textId="77777777" w:rsidR="00B25D4C" w:rsidRDefault="00B25D4C" w:rsidP="0072016D">
      <w:pPr>
        <w:jc w:val="both"/>
        <w:rPr>
          <w:b/>
        </w:rPr>
      </w:pPr>
    </w:p>
    <w:p w14:paraId="34123D2E" w14:textId="65845339" w:rsidR="007F0F46" w:rsidRDefault="007F0F46" w:rsidP="0072016D">
      <w:pPr>
        <w:jc w:val="both"/>
      </w:pPr>
      <w:r>
        <w:rPr>
          <w:b/>
        </w:rPr>
        <w:t xml:space="preserve">06.000. </w:t>
      </w:r>
      <w:r w:rsidRPr="007F0F46">
        <w:rPr>
          <w:b/>
        </w:rPr>
        <w:t>Teritoriju un mājokļu apsaimniekošana</w:t>
      </w:r>
      <w:r>
        <w:rPr>
          <w:b/>
        </w:rPr>
        <w:t xml:space="preserve"> </w:t>
      </w:r>
      <w:r w:rsidRPr="007F0F46">
        <w:t>izde</w:t>
      </w:r>
      <w:r>
        <w:t xml:space="preserve">vumi tiek </w:t>
      </w:r>
      <w:r w:rsidRPr="007F0F46">
        <w:rPr>
          <w:i/>
        </w:rPr>
        <w:t>palielināti par</w:t>
      </w:r>
      <w:r>
        <w:t xml:space="preserve"> </w:t>
      </w:r>
      <w:r>
        <w:rPr>
          <w:b/>
        </w:rPr>
        <w:t xml:space="preserve">37 334 </w:t>
      </w:r>
      <w:proofErr w:type="spellStart"/>
      <w:r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 w:rsidRPr="007B3508">
        <w:t>–</w:t>
      </w:r>
      <w:r>
        <w:t xml:space="preserve"> papildu dotācija no programmas </w:t>
      </w:r>
      <w:r w:rsidRPr="007F0F46">
        <w:t>“Līdzekļi neparedzētiem gadījumiem”</w:t>
      </w:r>
      <w:r>
        <w:t xml:space="preserve"> SIA “Jelgavas nekustamā īpašumu pārvalde</w:t>
      </w:r>
      <w:r w:rsidR="005B02DE">
        <w:t>i</w:t>
      </w:r>
      <w:r>
        <w:t xml:space="preserve">” </w:t>
      </w:r>
      <w:r w:rsidR="009E63B7">
        <w:t xml:space="preserve">par </w:t>
      </w:r>
      <w:r w:rsidR="005B02DE" w:rsidRPr="005B02DE">
        <w:t>ūdens</w:t>
      </w:r>
      <w:r w:rsidR="005B02DE">
        <w:t xml:space="preserve"> </w:t>
      </w:r>
      <w:r w:rsidR="005B02DE" w:rsidRPr="005B02DE">
        <w:t>spiediena staciju izbūvi Ganību iel</w:t>
      </w:r>
      <w:r w:rsidR="005B02DE">
        <w:t>as</w:t>
      </w:r>
      <w:r w:rsidR="005B02DE" w:rsidRPr="005B02DE">
        <w:t xml:space="preserve"> 58, 60, 62</w:t>
      </w:r>
      <w:r w:rsidR="005B02DE">
        <w:t xml:space="preserve"> un</w:t>
      </w:r>
      <w:r w:rsidR="005B02DE" w:rsidRPr="005B02DE">
        <w:t xml:space="preserve"> Satiksmes iel</w:t>
      </w:r>
      <w:r w:rsidR="005B02DE">
        <w:t>as</w:t>
      </w:r>
      <w:r w:rsidR="005B02DE" w:rsidRPr="005B02DE">
        <w:t xml:space="preserve"> 33</w:t>
      </w:r>
      <w:r w:rsidR="005B02DE">
        <w:t>, Jelgavā daudzdzīvokļu dzīvojamā</w:t>
      </w:r>
      <w:r w:rsidR="009E63B7">
        <w:t>s</w:t>
      </w:r>
      <w:r w:rsidR="005B02DE">
        <w:t xml:space="preserve"> mājā</w:t>
      </w:r>
      <w:r w:rsidR="009E63B7">
        <w:t>s</w:t>
      </w:r>
      <w:r w:rsidR="00874241">
        <w:t xml:space="preserve"> (tāme 06.603. ”Pašvaldības īpašumu apsaimniekošana”)</w:t>
      </w:r>
      <w:r w:rsidR="00A340B2">
        <w:t>.</w:t>
      </w:r>
    </w:p>
    <w:p w14:paraId="2AC314DB" w14:textId="77777777" w:rsidR="005B02DE" w:rsidRPr="007F0F46" w:rsidRDefault="005B02DE" w:rsidP="0072016D">
      <w:pPr>
        <w:jc w:val="both"/>
      </w:pPr>
    </w:p>
    <w:p w14:paraId="582923DE" w14:textId="74B14B96" w:rsidR="009273BF" w:rsidRDefault="009273BF" w:rsidP="0072016D">
      <w:pPr>
        <w:jc w:val="both"/>
      </w:pPr>
      <w:r w:rsidRPr="009900E0">
        <w:rPr>
          <w:b/>
        </w:rPr>
        <w:t>0</w:t>
      </w:r>
      <w:r w:rsidR="009512FB">
        <w:rPr>
          <w:b/>
        </w:rPr>
        <w:t>7</w:t>
      </w:r>
      <w:r w:rsidRPr="009900E0">
        <w:rPr>
          <w:b/>
        </w:rPr>
        <w:t xml:space="preserve">.000. </w:t>
      </w:r>
      <w:r w:rsidR="009512FB">
        <w:rPr>
          <w:b/>
        </w:rPr>
        <w:t>Veselība</w:t>
      </w:r>
      <w:r w:rsidRPr="009900E0">
        <w:rPr>
          <w:b/>
        </w:rPr>
        <w:t xml:space="preserve"> – </w:t>
      </w:r>
      <w:r w:rsidRPr="009900E0">
        <w:t>izdevumi</w:t>
      </w:r>
      <w:r w:rsidRPr="009900E0">
        <w:rPr>
          <w:i/>
        </w:rPr>
        <w:t xml:space="preserve"> </w:t>
      </w:r>
      <w:r>
        <w:rPr>
          <w:i/>
        </w:rPr>
        <w:t xml:space="preserve">palielināti </w:t>
      </w:r>
      <w:r w:rsidRPr="009900E0">
        <w:rPr>
          <w:b/>
          <w:i/>
        </w:rPr>
        <w:t xml:space="preserve"> </w:t>
      </w:r>
      <w:r w:rsidR="009512FB">
        <w:rPr>
          <w:b/>
        </w:rPr>
        <w:t>200</w:t>
      </w:r>
      <w:r w:rsidRPr="009900E0">
        <w:rPr>
          <w:b/>
        </w:rPr>
        <w:t> </w:t>
      </w:r>
      <w:proofErr w:type="spellStart"/>
      <w:r w:rsidRPr="009900E0">
        <w:rPr>
          <w:b/>
          <w:i/>
        </w:rPr>
        <w:t>euro</w:t>
      </w:r>
      <w:proofErr w:type="spellEnd"/>
      <w:r w:rsidRPr="009900E0">
        <w:rPr>
          <w:b/>
          <w:i/>
        </w:rPr>
        <w:t xml:space="preserve"> </w:t>
      </w:r>
      <w:r w:rsidRPr="009900E0">
        <w:t>apmērā</w:t>
      </w:r>
      <w:r w:rsidR="009512FB">
        <w:t xml:space="preserve">, kas ir valsts budžeta </w:t>
      </w:r>
      <w:r w:rsidR="009512FB" w:rsidRPr="009512FB">
        <w:t>finansējums</w:t>
      </w:r>
      <w:r w:rsidR="009512FB">
        <w:t xml:space="preserve"> saskaņā ar </w:t>
      </w:r>
      <w:r w:rsidR="009512FB" w:rsidRPr="009512FB">
        <w:t>Ukrainas civiliedzīvotāju atbalsta likum</w:t>
      </w:r>
      <w:r w:rsidR="009512FB">
        <w:t>u</w:t>
      </w:r>
      <w:r w:rsidR="009512FB" w:rsidRPr="009512FB">
        <w:t xml:space="preserve"> </w:t>
      </w:r>
      <w:r w:rsidR="00930933" w:rsidRPr="009900E0">
        <w:rPr>
          <w:b/>
        </w:rPr>
        <w:t>–</w:t>
      </w:r>
      <w:r w:rsidR="00930933">
        <w:rPr>
          <w:b/>
        </w:rPr>
        <w:t xml:space="preserve"> </w:t>
      </w:r>
      <w:r w:rsidR="009512FB">
        <w:t>p</w:t>
      </w:r>
      <w:r w:rsidR="009512FB" w:rsidRPr="009512FB">
        <w:t>abalstiem slimnīcu ārstniecības izdevumu apmaksai</w:t>
      </w:r>
      <w:r w:rsidR="009512FB">
        <w:t xml:space="preserve">   (tāme 07.300.)</w:t>
      </w:r>
      <w:r w:rsidR="00A340B2">
        <w:t>.</w:t>
      </w:r>
    </w:p>
    <w:p w14:paraId="7430AA7F" w14:textId="77777777" w:rsidR="009512FB" w:rsidRDefault="009512FB" w:rsidP="0072016D">
      <w:pPr>
        <w:jc w:val="both"/>
        <w:rPr>
          <w:b/>
        </w:rPr>
      </w:pPr>
    </w:p>
    <w:p w14:paraId="047E964A" w14:textId="77777777" w:rsidR="005B02DE" w:rsidRDefault="0072016D" w:rsidP="0072016D">
      <w:pPr>
        <w:jc w:val="both"/>
      </w:pPr>
      <w:r w:rsidRPr="009900E0">
        <w:rPr>
          <w:b/>
        </w:rPr>
        <w:t xml:space="preserve">08.000. Atpūta, kultūra un reliģija – </w:t>
      </w:r>
      <w:r w:rsidRPr="009900E0">
        <w:t>izdevumi</w:t>
      </w:r>
      <w:r w:rsidRPr="009900E0">
        <w:rPr>
          <w:i/>
        </w:rPr>
        <w:t xml:space="preserve"> tiek </w:t>
      </w:r>
      <w:r w:rsidR="00584382">
        <w:rPr>
          <w:i/>
        </w:rPr>
        <w:t xml:space="preserve">palielināti </w:t>
      </w:r>
      <w:r w:rsidRPr="009900E0">
        <w:rPr>
          <w:b/>
          <w:i/>
        </w:rPr>
        <w:t xml:space="preserve"> </w:t>
      </w:r>
      <w:r w:rsidR="009512FB">
        <w:rPr>
          <w:b/>
        </w:rPr>
        <w:t xml:space="preserve">17 </w:t>
      </w:r>
      <w:r w:rsidR="005B02DE">
        <w:rPr>
          <w:b/>
        </w:rPr>
        <w:t>533</w:t>
      </w:r>
      <w:r w:rsidRPr="009900E0">
        <w:rPr>
          <w:b/>
        </w:rPr>
        <w:t> </w:t>
      </w:r>
      <w:proofErr w:type="spellStart"/>
      <w:r w:rsidRPr="009900E0">
        <w:rPr>
          <w:b/>
          <w:i/>
        </w:rPr>
        <w:t>euro</w:t>
      </w:r>
      <w:proofErr w:type="spellEnd"/>
      <w:r w:rsidRPr="009900E0">
        <w:rPr>
          <w:b/>
          <w:i/>
        </w:rPr>
        <w:t xml:space="preserve"> </w:t>
      </w:r>
      <w:r w:rsidRPr="009900E0">
        <w:t>apmērā</w:t>
      </w:r>
      <w:r w:rsidR="005021E6" w:rsidRPr="009900E0">
        <w:t>,</w:t>
      </w:r>
      <w:r w:rsidRPr="009900E0">
        <w:t xml:space="preserve"> </w:t>
      </w:r>
      <w:r w:rsidR="005B02DE">
        <w:t>t.sk:</w:t>
      </w:r>
    </w:p>
    <w:p w14:paraId="6564BB39" w14:textId="366EA919" w:rsidR="00810E6B" w:rsidRDefault="005B02DE" w:rsidP="005B02DE">
      <w:pPr>
        <w:pStyle w:val="ListParagraph"/>
        <w:numPr>
          <w:ilvl w:val="0"/>
          <w:numId w:val="27"/>
        </w:numPr>
        <w:jc w:val="both"/>
      </w:pPr>
      <w:r>
        <w:t xml:space="preserve">17 334 </w:t>
      </w:r>
      <w:proofErr w:type="spellStart"/>
      <w:r w:rsidRPr="005B02DE">
        <w:rPr>
          <w:i/>
        </w:rPr>
        <w:t>euro</w:t>
      </w:r>
      <w:proofErr w:type="spellEnd"/>
      <w:r>
        <w:t xml:space="preserve"> </w:t>
      </w:r>
      <w:r w:rsidRPr="009900E0">
        <w:rPr>
          <w:b/>
        </w:rPr>
        <w:t>–</w:t>
      </w:r>
      <w:r>
        <w:rPr>
          <w:b/>
        </w:rPr>
        <w:t xml:space="preserve"> </w:t>
      </w:r>
      <w:r>
        <w:t xml:space="preserve">tāmei 08.231. </w:t>
      </w:r>
      <w:r w:rsidRPr="005B02DE">
        <w:rPr>
          <w:b/>
        </w:rPr>
        <w:t>“PI “Kultūra” darbības nodrošināšana”</w:t>
      </w:r>
      <w:r>
        <w:t xml:space="preserve"> </w:t>
      </w:r>
      <w:r w:rsidR="009512FB">
        <w:t xml:space="preserve">maksas pakalpojumu plāna par telpu nomu </w:t>
      </w:r>
      <w:proofErr w:type="spellStart"/>
      <w:r w:rsidR="009512FB">
        <w:t>pārpilde</w:t>
      </w:r>
      <w:proofErr w:type="spellEnd"/>
      <w:r w:rsidR="00452BD6">
        <w:t xml:space="preserve"> tiek novirzīta iestādes uzturēšanas izdevumu segšanai</w:t>
      </w:r>
      <w:r>
        <w:t>,</w:t>
      </w:r>
    </w:p>
    <w:p w14:paraId="60A5099D" w14:textId="3097B76B" w:rsidR="005B02DE" w:rsidRDefault="005B02DE" w:rsidP="005B02DE">
      <w:pPr>
        <w:pStyle w:val="ListParagraph"/>
        <w:numPr>
          <w:ilvl w:val="0"/>
          <w:numId w:val="27"/>
        </w:numPr>
        <w:jc w:val="both"/>
      </w:pPr>
      <w:r>
        <w:t xml:space="preserve">199 </w:t>
      </w:r>
      <w:proofErr w:type="spellStart"/>
      <w:r w:rsidRPr="005B02DE">
        <w:rPr>
          <w:i/>
        </w:rPr>
        <w:t>euro</w:t>
      </w:r>
      <w:proofErr w:type="spellEnd"/>
      <w:r w:rsidRPr="005B02DE">
        <w:rPr>
          <w:i/>
        </w:rPr>
        <w:t xml:space="preserve"> </w:t>
      </w:r>
      <w:r w:rsidRPr="009900E0">
        <w:rPr>
          <w:b/>
        </w:rPr>
        <w:t>–</w:t>
      </w:r>
      <w:r>
        <w:rPr>
          <w:b/>
        </w:rPr>
        <w:t xml:space="preserve"> </w:t>
      </w:r>
      <w:r>
        <w:t xml:space="preserve">papildu dotācija no programmas </w:t>
      </w:r>
      <w:r w:rsidRPr="007F0F46">
        <w:t>“Līdzekļi neparedzētiem gadījumiem”</w:t>
      </w:r>
      <w:r>
        <w:t xml:space="preserve"> biedrībai “TEV” </w:t>
      </w:r>
      <w:r w:rsidRPr="005B02DE">
        <w:t>par Civilās aizsardzības un krīzes pārvaldības pieredzes apmaiņas konferences noorganizēšanu Jelgavā</w:t>
      </w:r>
      <w:r>
        <w:t xml:space="preserve"> š.g.12.decembrī</w:t>
      </w:r>
      <w:r w:rsidR="00A340B2">
        <w:t>.</w:t>
      </w:r>
    </w:p>
    <w:p w14:paraId="1AFF0CF5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45A0C056" w14:textId="4B4CE3AD" w:rsidR="0072016D" w:rsidRDefault="0072016D" w:rsidP="0072016D">
      <w:pPr>
        <w:jc w:val="both"/>
      </w:pPr>
      <w:r w:rsidRPr="001419F8">
        <w:rPr>
          <w:b/>
        </w:rPr>
        <w:t>09.000. Izglītība –</w:t>
      </w:r>
      <w:r w:rsidRPr="001419F8">
        <w:t xml:space="preserve"> izdevumi </w:t>
      </w:r>
      <w:r w:rsidRPr="001419F8">
        <w:rPr>
          <w:i/>
        </w:rPr>
        <w:t xml:space="preserve">tiek </w:t>
      </w:r>
      <w:r w:rsidR="00452BD6">
        <w:rPr>
          <w:i/>
        </w:rPr>
        <w:t>samazināti</w:t>
      </w:r>
      <w:r w:rsidRPr="001419F8">
        <w:rPr>
          <w:i/>
        </w:rPr>
        <w:t xml:space="preserve"> </w:t>
      </w:r>
      <w:r w:rsidRPr="001419F8">
        <w:t xml:space="preserve">par </w:t>
      </w:r>
      <w:r w:rsidR="00452BD6" w:rsidRPr="00452BD6">
        <w:rPr>
          <w:sz w:val="20"/>
          <w:szCs w:val="20"/>
        </w:rPr>
        <w:t>–</w:t>
      </w:r>
      <w:r w:rsidR="00452BD6">
        <w:rPr>
          <w:b/>
        </w:rPr>
        <w:t>18</w:t>
      </w:r>
      <w:r w:rsidR="002B4632">
        <w:rPr>
          <w:b/>
        </w:rPr>
        <w:t>7</w:t>
      </w:r>
      <w:r w:rsidR="00452BD6">
        <w:rPr>
          <w:b/>
        </w:rPr>
        <w:t xml:space="preserve"> </w:t>
      </w:r>
      <w:r w:rsidR="002B4632">
        <w:rPr>
          <w:b/>
        </w:rPr>
        <w:t>305</w:t>
      </w:r>
      <w:r w:rsidRPr="001419F8">
        <w:rPr>
          <w:b/>
        </w:rPr>
        <w:t> </w:t>
      </w:r>
      <w:proofErr w:type="spellStart"/>
      <w:r w:rsidRPr="001419F8">
        <w:rPr>
          <w:b/>
          <w:i/>
        </w:rPr>
        <w:t>euro</w:t>
      </w:r>
      <w:proofErr w:type="spellEnd"/>
      <w:r w:rsidRPr="001419F8">
        <w:t xml:space="preserve">, </w:t>
      </w:r>
      <w:r w:rsidR="00D01B4E">
        <w:t>t.sk.:</w:t>
      </w:r>
    </w:p>
    <w:p w14:paraId="1890A9F3" w14:textId="25D002E4" w:rsidR="00D01B4E" w:rsidRPr="001419F8" w:rsidRDefault="00D01B4E" w:rsidP="00D01B4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t>“</w:t>
      </w:r>
      <w:r w:rsidRPr="001419F8">
        <w:rPr>
          <w:b/>
          <w:bCs/>
        </w:rPr>
        <w:t>Jelgavas pirmsskolas izglītības iestāžu darbības nodrošināšana un speciālās pirmsskolas izglītības programmas</w:t>
      </w:r>
      <w:r>
        <w:rPr>
          <w:b/>
          <w:bCs/>
        </w:rPr>
        <w:t xml:space="preserve">” </w:t>
      </w:r>
      <w:r w:rsidRPr="00F83F45">
        <w:rPr>
          <w:bCs/>
        </w:rPr>
        <w:t>(</w:t>
      </w:r>
      <w:r>
        <w:rPr>
          <w:bCs/>
        </w:rPr>
        <w:t>tāme 09.101.)</w:t>
      </w:r>
      <w:r w:rsidRPr="001419F8">
        <w:rPr>
          <w:b/>
          <w:bCs/>
        </w:rPr>
        <w:t xml:space="preserve"> </w:t>
      </w:r>
      <w:r w:rsidRPr="001419F8">
        <w:rPr>
          <w:bCs/>
        </w:rPr>
        <w:t xml:space="preserve">izdevumi </w:t>
      </w:r>
      <w:r w:rsidRPr="001419F8">
        <w:rPr>
          <w:bCs/>
          <w:i/>
        </w:rPr>
        <w:t xml:space="preserve">tiek </w:t>
      </w:r>
      <w:r>
        <w:rPr>
          <w:bCs/>
          <w:i/>
        </w:rPr>
        <w:t>samazināti</w:t>
      </w:r>
      <w:r w:rsidRPr="001419F8">
        <w:rPr>
          <w:bCs/>
          <w:i/>
        </w:rPr>
        <w:t xml:space="preserve"> </w:t>
      </w:r>
      <w:r w:rsidRPr="001419F8">
        <w:rPr>
          <w:bCs/>
        </w:rPr>
        <w:t xml:space="preserve">par </w:t>
      </w:r>
      <w:r>
        <w:rPr>
          <w:bCs/>
        </w:rPr>
        <w:t xml:space="preserve">                  </w:t>
      </w:r>
      <w:r w:rsidRPr="00452BD6">
        <w:rPr>
          <w:sz w:val="20"/>
          <w:szCs w:val="20"/>
        </w:rPr>
        <w:t>–</w:t>
      </w:r>
      <w:r>
        <w:rPr>
          <w:b/>
          <w:bCs/>
        </w:rPr>
        <w:t>142 408</w:t>
      </w:r>
      <w:r w:rsidRPr="00A3465A">
        <w:rPr>
          <w:b/>
          <w:bCs/>
        </w:rPr>
        <w:t> </w:t>
      </w:r>
      <w:proofErr w:type="spellStart"/>
      <w:r w:rsidRPr="00A3465A">
        <w:rPr>
          <w:b/>
          <w:bCs/>
          <w:i/>
        </w:rPr>
        <w:t>euro</w:t>
      </w:r>
      <w:proofErr w:type="spellEnd"/>
      <w:r w:rsidRPr="001419F8">
        <w:rPr>
          <w:bCs/>
        </w:rPr>
        <w:t>, kas ieplānoti šādiem mērķiem:</w:t>
      </w:r>
    </w:p>
    <w:p w14:paraId="00D488C0" w14:textId="328F8769" w:rsidR="00D01B4E" w:rsidRPr="00D01B4E" w:rsidRDefault="00D01B4E" w:rsidP="00D01B4E">
      <w:pPr>
        <w:pStyle w:val="ListParagraph"/>
        <w:numPr>
          <w:ilvl w:val="1"/>
          <w:numId w:val="3"/>
        </w:numPr>
        <w:jc w:val="both"/>
        <w:rPr>
          <w:i/>
        </w:rPr>
      </w:pPr>
      <w:r>
        <w:t xml:space="preserve">4346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D01B4E">
        <w:rPr>
          <w:b/>
        </w:rPr>
        <w:t>–</w:t>
      </w:r>
      <w:r>
        <w:rPr>
          <w:b/>
        </w:rPr>
        <w:t xml:space="preserve"> </w:t>
      </w:r>
      <w:r>
        <w:t>papildu dotācija PII “Ķipari” un PII “Pasaciņa” komunālo pakalpojumu izdevumu segšanai,</w:t>
      </w:r>
    </w:p>
    <w:p w14:paraId="5082F247" w14:textId="43BE60AC" w:rsidR="00D01B4E" w:rsidRPr="00625EDA" w:rsidRDefault="00D2517C" w:rsidP="00D01B4E">
      <w:pPr>
        <w:pStyle w:val="ListParagraph"/>
        <w:numPr>
          <w:ilvl w:val="1"/>
          <w:numId w:val="3"/>
        </w:numPr>
        <w:jc w:val="both"/>
        <w:rPr>
          <w:i/>
        </w:rPr>
      </w:pPr>
      <w:r>
        <w:t>8794</w:t>
      </w:r>
      <w:r w:rsidR="00D01B4E">
        <w:t xml:space="preserve"> </w:t>
      </w:r>
      <w:proofErr w:type="spellStart"/>
      <w:r w:rsidR="00D01B4E" w:rsidRPr="00D01B4E">
        <w:rPr>
          <w:i/>
        </w:rPr>
        <w:t>euro</w:t>
      </w:r>
      <w:proofErr w:type="spellEnd"/>
      <w:r w:rsidR="00D01B4E">
        <w:t xml:space="preserve"> </w:t>
      </w:r>
      <w:r w:rsidR="00D01B4E" w:rsidRPr="00452BD6">
        <w:rPr>
          <w:sz w:val="20"/>
          <w:szCs w:val="20"/>
        </w:rPr>
        <w:t>–</w:t>
      </w:r>
      <w:r w:rsidR="00D01B4E">
        <w:rPr>
          <w:sz w:val="20"/>
          <w:szCs w:val="20"/>
        </w:rPr>
        <w:t xml:space="preserve"> </w:t>
      </w:r>
      <w:r w:rsidR="00D01B4E" w:rsidRPr="00D01B4E">
        <w:t xml:space="preserve">apdrošināšanas sabiedrību </w:t>
      </w:r>
      <w:r w:rsidR="00625EDA">
        <w:t>izmaksātā atlīdzība par PII bojāto īpašumu,</w:t>
      </w:r>
    </w:p>
    <w:p w14:paraId="3E69735F" w14:textId="111B2340" w:rsidR="00625EDA" w:rsidRPr="00625EDA" w:rsidRDefault="00D2517C" w:rsidP="00D01B4E">
      <w:pPr>
        <w:pStyle w:val="ListParagraph"/>
        <w:numPr>
          <w:ilvl w:val="1"/>
          <w:numId w:val="3"/>
        </w:numPr>
        <w:jc w:val="both"/>
        <w:rPr>
          <w:i/>
        </w:rPr>
      </w:pPr>
      <w:r>
        <w:t>36 452</w:t>
      </w:r>
      <w:r w:rsidR="00625EDA">
        <w:t xml:space="preserve"> </w:t>
      </w:r>
      <w:proofErr w:type="spellStart"/>
      <w:r w:rsidR="00625EDA" w:rsidRPr="00625EDA">
        <w:rPr>
          <w:i/>
        </w:rPr>
        <w:t>euro</w:t>
      </w:r>
      <w:proofErr w:type="spellEnd"/>
      <w:r w:rsidR="00625EDA">
        <w:t xml:space="preserve"> </w:t>
      </w:r>
      <w:r w:rsidR="00625EDA" w:rsidRPr="00452BD6">
        <w:rPr>
          <w:sz w:val="20"/>
          <w:szCs w:val="20"/>
        </w:rPr>
        <w:t>–</w:t>
      </w:r>
      <w:r w:rsidR="00625EDA">
        <w:rPr>
          <w:sz w:val="20"/>
          <w:szCs w:val="20"/>
        </w:rPr>
        <w:t xml:space="preserve"> </w:t>
      </w:r>
      <w:r w:rsidR="00625EDA" w:rsidRPr="00625EDA">
        <w:t xml:space="preserve">VARAM finansējums, lai segtu izdevumus </w:t>
      </w:r>
      <w:r w:rsidR="00625EDA">
        <w:t>plūdu seku novēršanai,</w:t>
      </w:r>
      <w:r w:rsidR="00625EDA" w:rsidRPr="00625EDA">
        <w:t xml:space="preserve"> </w:t>
      </w:r>
    </w:p>
    <w:p w14:paraId="185F7B67" w14:textId="47158D5D" w:rsidR="00625EDA" w:rsidRPr="000C6AAD" w:rsidRDefault="00625EDA" w:rsidP="00D01B4E">
      <w:pPr>
        <w:pStyle w:val="ListParagraph"/>
        <w:numPr>
          <w:ilvl w:val="1"/>
          <w:numId w:val="3"/>
        </w:numPr>
        <w:jc w:val="both"/>
        <w:rPr>
          <w:i/>
        </w:rPr>
      </w:pPr>
      <w:r w:rsidRPr="00452BD6">
        <w:rPr>
          <w:sz w:val="20"/>
          <w:szCs w:val="20"/>
        </w:rPr>
        <w:t>–</w:t>
      </w:r>
      <w:r>
        <w:t xml:space="preserve">192 000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452BD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625EDA">
        <w:t>dotācijas samazinājums</w:t>
      </w:r>
      <w:r>
        <w:t>, kas novirzīts uz citām Izglītības nozares tāmēm;</w:t>
      </w:r>
      <w:r w:rsidRPr="00625EDA">
        <w:t xml:space="preserve"> </w:t>
      </w:r>
    </w:p>
    <w:p w14:paraId="1FBD40E5" w14:textId="36D8D561" w:rsidR="000C6AAD" w:rsidRPr="0067598C" w:rsidRDefault="000C6AAD" w:rsidP="000C6AA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lastRenderedPageBreak/>
        <w:t>“V</w:t>
      </w:r>
      <w:r w:rsidRPr="0067598C">
        <w:rPr>
          <w:b/>
          <w:bCs/>
        </w:rPr>
        <w:t>ispārizglītojošo skolu darbības nodrošināšana</w:t>
      </w:r>
      <w:r>
        <w:rPr>
          <w:b/>
          <w:bCs/>
        </w:rPr>
        <w:t>”</w:t>
      </w:r>
      <w:r w:rsidRPr="0067598C">
        <w:rPr>
          <w:b/>
          <w:bCs/>
        </w:rPr>
        <w:t xml:space="preserve"> </w:t>
      </w:r>
      <w:r w:rsidRPr="0067598C">
        <w:rPr>
          <w:bCs/>
        </w:rPr>
        <w:t xml:space="preserve">(tāme </w:t>
      </w:r>
      <w:r>
        <w:rPr>
          <w:bCs/>
        </w:rPr>
        <w:t>09.</w:t>
      </w:r>
      <w:r w:rsidRPr="0067598C">
        <w:rPr>
          <w:bCs/>
        </w:rPr>
        <w:t>219.1.) izdevumi</w:t>
      </w:r>
      <w:r w:rsidRPr="0067598C">
        <w:rPr>
          <w:bCs/>
          <w:i/>
        </w:rPr>
        <w:t xml:space="preserve"> tiek </w:t>
      </w:r>
      <w:r>
        <w:rPr>
          <w:bCs/>
          <w:i/>
        </w:rPr>
        <w:t>samazināti</w:t>
      </w:r>
      <w:r w:rsidRPr="0067598C">
        <w:rPr>
          <w:bCs/>
          <w:i/>
        </w:rPr>
        <w:t xml:space="preserve"> </w:t>
      </w:r>
      <w:r w:rsidRPr="0067598C">
        <w:rPr>
          <w:bCs/>
        </w:rPr>
        <w:t xml:space="preserve">par </w:t>
      </w:r>
      <w:r>
        <w:t>–</w:t>
      </w:r>
      <w:r w:rsidR="00B26D14">
        <w:rPr>
          <w:b/>
          <w:bCs/>
        </w:rPr>
        <w:t>60 446</w:t>
      </w:r>
      <w:r w:rsidRPr="00A3465A">
        <w:rPr>
          <w:b/>
          <w:bCs/>
          <w:i/>
        </w:rPr>
        <w:t> </w:t>
      </w:r>
      <w:proofErr w:type="spellStart"/>
      <w:r w:rsidRPr="00A3465A">
        <w:rPr>
          <w:b/>
          <w:bCs/>
          <w:i/>
        </w:rPr>
        <w:t>euro</w:t>
      </w:r>
      <w:proofErr w:type="spellEnd"/>
      <w:r w:rsidRPr="001419F8">
        <w:t xml:space="preserve">, </w:t>
      </w:r>
      <w:r w:rsidRPr="0067598C">
        <w:rPr>
          <w:bCs/>
        </w:rPr>
        <w:t>t.sk.:</w:t>
      </w:r>
    </w:p>
    <w:p w14:paraId="668EB2EE" w14:textId="291692CA" w:rsidR="006B56D0" w:rsidRDefault="006B56D0" w:rsidP="000C6AAD">
      <w:pPr>
        <w:pStyle w:val="ListParagraph"/>
        <w:numPr>
          <w:ilvl w:val="1"/>
          <w:numId w:val="3"/>
        </w:numPr>
        <w:jc w:val="both"/>
      </w:pPr>
      <w:r>
        <w:t>19</w:t>
      </w:r>
      <w:r w:rsidR="005A7BC3">
        <w:t>3</w:t>
      </w:r>
      <w:r>
        <w:t> </w:t>
      </w:r>
      <w:r w:rsidR="005A7BC3">
        <w:t>241</w:t>
      </w:r>
      <w:r>
        <w:t xml:space="preserve"> </w:t>
      </w:r>
      <w:proofErr w:type="spellStart"/>
      <w:r w:rsidRPr="006B56D0">
        <w:rPr>
          <w:i/>
        </w:rPr>
        <w:t>euro</w:t>
      </w:r>
      <w:proofErr w:type="spellEnd"/>
      <w:r>
        <w:t xml:space="preserve"> </w:t>
      </w:r>
      <w:r w:rsidRPr="00452BD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D01B4E">
        <w:t xml:space="preserve">apdrošināšanas sabiedrību </w:t>
      </w:r>
      <w:r>
        <w:t>izmaksātā atlīdzība par vispārizglītojošo skolu bojāto īpašumu,</w:t>
      </w:r>
    </w:p>
    <w:p w14:paraId="3A6F52E7" w14:textId="0446F550" w:rsidR="000C6AAD" w:rsidRDefault="000C6AAD" w:rsidP="000C6AAD">
      <w:pPr>
        <w:pStyle w:val="ListParagraph"/>
        <w:numPr>
          <w:ilvl w:val="1"/>
          <w:numId w:val="3"/>
        </w:numPr>
        <w:jc w:val="both"/>
      </w:pPr>
      <w:r>
        <w:t>–</w:t>
      </w:r>
      <w:r w:rsidR="006B56D0">
        <w:t>23</w:t>
      </w:r>
      <w:r w:rsidR="005A7BC3">
        <w:t>8</w:t>
      </w:r>
      <w:r w:rsidR="006B56D0">
        <w:t xml:space="preserve"> </w:t>
      </w:r>
      <w:r w:rsidR="005A7BC3">
        <w:t>487</w:t>
      </w:r>
      <w:r>
        <w:t xml:space="preserve"> </w:t>
      </w:r>
      <w:proofErr w:type="spellStart"/>
      <w:r w:rsidRPr="006B56D0">
        <w:rPr>
          <w:bCs/>
          <w:i/>
        </w:rPr>
        <w:t>euro</w:t>
      </w:r>
      <w:proofErr w:type="spellEnd"/>
      <w:r w:rsidRPr="006B56D0">
        <w:rPr>
          <w:bCs/>
          <w:i/>
        </w:rPr>
        <w:t xml:space="preserve"> </w:t>
      </w:r>
      <w:r w:rsidRPr="006B56D0">
        <w:rPr>
          <w:b/>
        </w:rPr>
        <w:t xml:space="preserve">– </w:t>
      </w:r>
      <w:r w:rsidR="006B56D0" w:rsidRPr="00625EDA">
        <w:t>VARAM finansējum</w:t>
      </w:r>
      <w:r w:rsidR="006B56D0">
        <w:t>a samazinājums</w:t>
      </w:r>
      <w:r w:rsidR="006B56D0" w:rsidRPr="00625EDA">
        <w:t xml:space="preserve">, lai segtu izdevumus </w:t>
      </w:r>
      <w:r w:rsidR="006B56D0">
        <w:t>plūdu seku novēršanai</w:t>
      </w:r>
      <w:r w:rsidRPr="00013B43">
        <w:t xml:space="preserve">, </w:t>
      </w:r>
    </w:p>
    <w:p w14:paraId="12D3D134" w14:textId="25FC3CC8" w:rsidR="006B56D0" w:rsidRDefault="006B56D0" w:rsidP="000C6AAD">
      <w:pPr>
        <w:pStyle w:val="ListParagraph"/>
        <w:numPr>
          <w:ilvl w:val="1"/>
          <w:numId w:val="3"/>
        </w:numPr>
        <w:jc w:val="both"/>
      </w:pPr>
      <w:r>
        <w:t>–1</w:t>
      </w:r>
      <w:r w:rsidR="00B26D14">
        <w:t xml:space="preserve">5 200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B56D0">
        <w:rPr>
          <w:b/>
        </w:rPr>
        <w:t>–</w:t>
      </w:r>
      <w:r>
        <w:rPr>
          <w:b/>
        </w:rPr>
        <w:t xml:space="preserve"> </w:t>
      </w:r>
      <w:r w:rsidRPr="00625EDA">
        <w:t>dotācijas samazinājums</w:t>
      </w:r>
      <w:r>
        <w:t>, kas novirzīts uz citām Izglītības nozares tāmēm;</w:t>
      </w:r>
    </w:p>
    <w:p w14:paraId="4CE823A8" w14:textId="4C45C3F0" w:rsidR="006955D1" w:rsidRPr="00677556" w:rsidRDefault="006955D1" w:rsidP="006955D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t xml:space="preserve">“Jelgavas </w:t>
      </w:r>
      <w:r w:rsidRPr="001419F8">
        <w:rPr>
          <w:b/>
          <w:bCs/>
        </w:rPr>
        <w:t>vispārizglītojošo skolu projektu īstenošana</w:t>
      </w:r>
      <w:r>
        <w:rPr>
          <w:b/>
          <w:bCs/>
        </w:rPr>
        <w:t xml:space="preserve">” </w:t>
      </w:r>
      <w:r>
        <w:rPr>
          <w:bCs/>
        </w:rPr>
        <w:t>(tāme 09.219.3.)</w:t>
      </w:r>
      <w:r w:rsidRPr="001419F8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/>
          <w:bCs/>
        </w:rPr>
        <w:t>2786</w:t>
      </w:r>
      <w:r w:rsidRPr="00CF60E1">
        <w:rPr>
          <w:b/>
          <w:bCs/>
        </w:rPr>
        <w:t> </w:t>
      </w:r>
      <w:proofErr w:type="spellStart"/>
      <w:r w:rsidRPr="00CF60E1">
        <w:rPr>
          <w:b/>
          <w:bCs/>
          <w:i/>
        </w:rPr>
        <w:t>euro</w:t>
      </w:r>
      <w:proofErr w:type="spellEnd"/>
      <w:r>
        <w:rPr>
          <w:bCs/>
          <w:i/>
        </w:rPr>
        <w:t xml:space="preserve"> </w:t>
      </w:r>
      <w:r>
        <w:rPr>
          <w:bCs/>
        </w:rPr>
        <w:t>šādu projektu īstenošanai:</w:t>
      </w:r>
    </w:p>
    <w:p w14:paraId="00ACC61E" w14:textId="4A3A4C0D" w:rsidR="006955D1" w:rsidRDefault="006955D1" w:rsidP="006955D1">
      <w:pPr>
        <w:pStyle w:val="ListParagraph"/>
        <w:numPr>
          <w:ilvl w:val="1"/>
          <w:numId w:val="3"/>
        </w:numPr>
        <w:jc w:val="both"/>
      </w:pPr>
      <w:r>
        <w:t xml:space="preserve">5620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03200F">
        <w:t xml:space="preserve">sadarbības iestādes </w:t>
      </w:r>
      <w:r>
        <w:t>“</w:t>
      </w:r>
      <w:proofErr w:type="spellStart"/>
      <w:r w:rsidRPr="0003200F">
        <w:t>Vilniaus</w:t>
      </w:r>
      <w:proofErr w:type="spellEnd"/>
      <w:r w:rsidRPr="0003200F">
        <w:t xml:space="preserve"> </w:t>
      </w:r>
      <w:proofErr w:type="spellStart"/>
      <w:r w:rsidRPr="0003200F">
        <w:t>Nemencines</w:t>
      </w:r>
      <w:proofErr w:type="spellEnd"/>
      <w:r w:rsidRPr="0003200F">
        <w:t xml:space="preserve"> </w:t>
      </w:r>
      <w:proofErr w:type="spellStart"/>
      <w:r w:rsidRPr="0003200F">
        <w:t>Gedimino</w:t>
      </w:r>
      <w:proofErr w:type="spellEnd"/>
      <w:r w:rsidRPr="0003200F">
        <w:t xml:space="preserve"> </w:t>
      </w:r>
      <w:proofErr w:type="spellStart"/>
      <w:r>
        <w:t>g</w:t>
      </w:r>
      <w:r w:rsidRPr="0003200F">
        <w:t>imn</w:t>
      </w:r>
      <w:r>
        <w:t>a</w:t>
      </w:r>
      <w:r w:rsidRPr="0003200F">
        <w:t>zija</w:t>
      </w:r>
      <w:proofErr w:type="spellEnd"/>
      <w:r>
        <w:t>”</w:t>
      </w:r>
      <w:r w:rsidRPr="0003200F">
        <w:t xml:space="preserve"> finansējums </w:t>
      </w:r>
      <w:proofErr w:type="spellStart"/>
      <w:r w:rsidRPr="0003200F">
        <w:t>Nordplus</w:t>
      </w:r>
      <w:proofErr w:type="spellEnd"/>
      <w:r w:rsidRPr="0003200F">
        <w:t xml:space="preserve"> Junior projekta </w:t>
      </w:r>
      <w:r>
        <w:t>“</w:t>
      </w:r>
      <w:proofErr w:type="spellStart"/>
      <w:r w:rsidRPr="0003200F">
        <w:t>Baltic</w:t>
      </w:r>
      <w:proofErr w:type="spellEnd"/>
      <w:r w:rsidRPr="0003200F">
        <w:t xml:space="preserve"> </w:t>
      </w:r>
      <w:proofErr w:type="spellStart"/>
      <w:r w:rsidRPr="0003200F">
        <w:t>minds</w:t>
      </w:r>
      <w:proofErr w:type="spellEnd"/>
      <w:r w:rsidRPr="0003200F">
        <w:t xml:space="preserve"> </w:t>
      </w:r>
      <w:proofErr w:type="spellStart"/>
      <w:r w:rsidRPr="0003200F">
        <w:t>connected</w:t>
      </w:r>
      <w:proofErr w:type="spellEnd"/>
      <w:r>
        <w:t>”</w:t>
      </w:r>
      <w:r w:rsidRPr="0003200F">
        <w:t xml:space="preserve"> īst</w:t>
      </w:r>
      <w:r>
        <w:t>e</w:t>
      </w:r>
      <w:r w:rsidRPr="0003200F">
        <w:t>nošanai</w:t>
      </w:r>
      <w:r>
        <w:t xml:space="preserve"> (Jelgavas Valsts ģimnāzija),</w:t>
      </w:r>
    </w:p>
    <w:p w14:paraId="39846125" w14:textId="6D5F1DBD" w:rsidR="006955D1" w:rsidRDefault="006955D1" w:rsidP="006955D1">
      <w:pPr>
        <w:pStyle w:val="ListParagraph"/>
        <w:numPr>
          <w:ilvl w:val="1"/>
          <w:numId w:val="3"/>
        </w:numPr>
        <w:jc w:val="both"/>
      </w:pPr>
      <w:r>
        <w:t xml:space="preserve">1512 </w:t>
      </w:r>
      <w:proofErr w:type="spellStart"/>
      <w:r w:rsidRPr="006955D1">
        <w:rPr>
          <w:i/>
        </w:rPr>
        <w:t>euro</w:t>
      </w:r>
      <w:proofErr w:type="spellEnd"/>
      <w:r>
        <w:t xml:space="preserve"> </w:t>
      </w:r>
      <w:r w:rsidRPr="001419F8">
        <w:rPr>
          <w:i/>
        </w:rPr>
        <w:t>–</w:t>
      </w:r>
      <w:r>
        <w:t xml:space="preserve"> v</w:t>
      </w:r>
      <w:r w:rsidRPr="005A3CCC">
        <w:t xml:space="preserve">adošā projekta partnera </w:t>
      </w:r>
      <w:r>
        <w:t>“</w:t>
      </w:r>
      <w:proofErr w:type="spellStart"/>
      <w:r w:rsidRPr="005A3CCC">
        <w:t>Vilnius</w:t>
      </w:r>
      <w:proofErr w:type="spellEnd"/>
      <w:r w:rsidRPr="005A3CCC">
        <w:t xml:space="preserve"> Engineering </w:t>
      </w:r>
      <w:proofErr w:type="spellStart"/>
      <w:r w:rsidRPr="005A3CCC">
        <w:t>and</w:t>
      </w:r>
      <w:proofErr w:type="spellEnd"/>
      <w:r w:rsidRPr="005A3CCC">
        <w:t xml:space="preserve"> </w:t>
      </w:r>
      <w:proofErr w:type="spellStart"/>
      <w:r w:rsidRPr="005A3CCC">
        <w:t>Technology</w:t>
      </w:r>
      <w:proofErr w:type="spellEnd"/>
      <w:r w:rsidRPr="005A3CCC">
        <w:t xml:space="preserve"> </w:t>
      </w:r>
      <w:proofErr w:type="spellStart"/>
      <w:r w:rsidRPr="005A3CCC">
        <w:t>Lyceum</w:t>
      </w:r>
      <w:proofErr w:type="spellEnd"/>
      <w:r>
        <w:t>”</w:t>
      </w:r>
      <w:r w:rsidRPr="005A3CCC">
        <w:t xml:space="preserve"> finansējums </w:t>
      </w:r>
      <w:proofErr w:type="spellStart"/>
      <w:r w:rsidRPr="005A3CCC">
        <w:t>Nordplus</w:t>
      </w:r>
      <w:proofErr w:type="spellEnd"/>
      <w:r w:rsidRPr="005A3CCC">
        <w:t xml:space="preserve"> Junior projekta</w:t>
      </w:r>
      <w:r>
        <w:t>m</w:t>
      </w:r>
      <w:r w:rsidRPr="005A3CCC">
        <w:t xml:space="preserve"> </w:t>
      </w:r>
      <w:r>
        <w:t>“</w:t>
      </w:r>
      <w:r w:rsidRPr="005A3CCC">
        <w:t xml:space="preserve">A </w:t>
      </w:r>
      <w:proofErr w:type="spellStart"/>
      <w:r w:rsidRPr="005A3CCC">
        <w:t>code</w:t>
      </w:r>
      <w:proofErr w:type="spellEnd"/>
      <w:r w:rsidRPr="005A3CCC">
        <w:t xml:space="preserve"> </w:t>
      </w:r>
      <w:proofErr w:type="spellStart"/>
      <w:r w:rsidRPr="005A3CCC">
        <w:t>for</w:t>
      </w:r>
      <w:proofErr w:type="spellEnd"/>
      <w:r w:rsidRPr="005A3CCC">
        <w:t xml:space="preserve"> </w:t>
      </w:r>
      <w:proofErr w:type="spellStart"/>
      <w:r w:rsidRPr="005A3CCC">
        <w:t>thinking</w:t>
      </w:r>
      <w:proofErr w:type="spellEnd"/>
      <w:r w:rsidRPr="005A3CCC">
        <w:t xml:space="preserve"> </w:t>
      </w:r>
      <w:proofErr w:type="spellStart"/>
      <w:r w:rsidRPr="005A3CCC">
        <w:t>skills</w:t>
      </w:r>
      <w:proofErr w:type="spellEnd"/>
      <w:r w:rsidRPr="005A3CCC">
        <w:t xml:space="preserve"> </w:t>
      </w:r>
      <w:proofErr w:type="spellStart"/>
      <w:r w:rsidRPr="005A3CCC">
        <w:t>in</w:t>
      </w:r>
      <w:proofErr w:type="spellEnd"/>
      <w:r w:rsidRPr="005A3CCC">
        <w:t xml:space="preserve"> </w:t>
      </w:r>
      <w:proofErr w:type="spellStart"/>
      <w:r w:rsidRPr="005A3CCC">
        <w:t>the</w:t>
      </w:r>
      <w:proofErr w:type="spellEnd"/>
      <w:r w:rsidRPr="005A3CCC">
        <w:t xml:space="preserve"> 21st </w:t>
      </w:r>
      <w:proofErr w:type="spellStart"/>
      <w:r w:rsidRPr="005A3CCC">
        <w:t>century</w:t>
      </w:r>
      <w:proofErr w:type="spellEnd"/>
      <w:r>
        <w:t>” (Jelgavas Centra pamatskola),</w:t>
      </w:r>
    </w:p>
    <w:p w14:paraId="3E9175C0" w14:textId="0A999F16" w:rsidR="006955D1" w:rsidRDefault="006955D1" w:rsidP="006955D1">
      <w:pPr>
        <w:pStyle w:val="ListParagraph"/>
        <w:numPr>
          <w:ilvl w:val="1"/>
          <w:numId w:val="3"/>
        </w:numPr>
        <w:jc w:val="both"/>
      </w:pPr>
      <w:r>
        <w:t xml:space="preserve">–4346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B56D0">
        <w:rPr>
          <w:b/>
        </w:rPr>
        <w:t>–</w:t>
      </w:r>
      <w:r>
        <w:rPr>
          <w:b/>
        </w:rPr>
        <w:t xml:space="preserve"> </w:t>
      </w:r>
      <w:r w:rsidRPr="00625EDA">
        <w:t>dotācijas samazinājums</w:t>
      </w:r>
      <w:r>
        <w:t>, kas novirzīts uz citām Izglītības nozares tāmēm;</w:t>
      </w:r>
    </w:p>
    <w:p w14:paraId="4BA74F6F" w14:textId="77E6F930" w:rsidR="001958F2" w:rsidRPr="00B032F3" w:rsidRDefault="001958F2" w:rsidP="001958F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“</w:t>
      </w:r>
      <w:r w:rsidRPr="001419F8">
        <w:rPr>
          <w:b/>
          <w:bCs/>
        </w:rPr>
        <w:t>Pašvaldības izglītības iestādes “Jelgavas Amatu vidusskola” darbības nodrošināšana</w:t>
      </w:r>
      <w:r>
        <w:rPr>
          <w:b/>
          <w:bCs/>
        </w:rPr>
        <w:t>”</w:t>
      </w:r>
      <w:r w:rsidRPr="001419F8">
        <w:rPr>
          <w:b/>
          <w:bCs/>
        </w:rPr>
        <w:t xml:space="preserve"> </w:t>
      </w:r>
      <w:r>
        <w:rPr>
          <w:bCs/>
        </w:rPr>
        <w:t xml:space="preserve">(tāme 09.222.2)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/>
          <w:bCs/>
        </w:rPr>
        <w:t>13 0</w:t>
      </w:r>
      <w:r w:rsidR="00B032F3">
        <w:rPr>
          <w:b/>
          <w:bCs/>
        </w:rPr>
        <w:t>9</w:t>
      </w:r>
      <w:r>
        <w:rPr>
          <w:b/>
          <w:bCs/>
        </w:rPr>
        <w:t>0</w:t>
      </w:r>
      <w:r w:rsidRPr="00895FD1">
        <w:rPr>
          <w:b/>
          <w:bCs/>
          <w:i/>
        </w:rPr>
        <w:t> </w:t>
      </w:r>
      <w:proofErr w:type="spellStart"/>
      <w:r w:rsidRPr="00895FD1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</w:t>
      </w:r>
      <w:r>
        <w:rPr>
          <w:bCs/>
        </w:rPr>
        <w:t>kas ir papildu dotācija skolas uzturēšanas izdevumu segšanai (skolēnu stipendiju izmaksai);</w:t>
      </w:r>
    </w:p>
    <w:p w14:paraId="72F2A0A5" w14:textId="702F8381" w:rsidR="00B032F3" w:rsidRPr="001419F8" w:rsidRDefault="00B032F3" w:rsidP="001958F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“JVPPI “ Jelgavas izglītības pārvalde” darbības nodrošināšana” </w:t>
      </w:r>
      <w:r w:rsidRPr="001925F6">
        <w:rPr>
          <w:bCs/>
        </w:rPr>
        <w:t>(</w:t>
      </w:r>
      <w:r>
        <w:t>tāme 09.811.) –</w:t>
      </w:r>
      <w:r>
        <w:rPr>
          <w:b/>
        </w:rPr>
        <w:t xml:space="preserve"> </w:t>
      </w:r>
      <w:r w:rsidRPr="00F87152">
        <w:t xml:space="preserve">izdevumi samazināti par </w:t>
      </w:r>
      <w:r w:rsidRPr="00FE5897">
        <w:t>–</w:t>
      </w:r>
      <w:r>
        <w:t>327</w:t>
      </w:r>
      <w:r w:rsidRPr="00FE5897">
        <w:rPr>
          <w:bCs/>
        </w:rPr>
        <w:t xml:space="preserve"> </w:t>
      </w:r>
      <w:proofErr w:type="spellStart"/>
      <w:r w:rsidRPr="00FE5897">
        <w:rPr>
          <w:i/>
        </w:rPr>
        <w:t>euro</w:t>
      </w:r>
      <w:proofErr w:type="spellEnd"/>
      <w:r w:rsidRPr="00FE5897">
        <w:t>,</w:t>
      </w:r>
      <w:r>
        <w:t xml:space="preserve"> kas </w:t>
      </w:r>
      <w:r w:rsidRPr="00800238">
        <w:t>novirzīt</w:t>
      </w:r>
      <w:r>
        <w:t>i</w:t>
      </w:r>
      <w:r w:rsidRPr="00800238">
        <w:t xml:space="preserve"> citu programmu īstenošanai</w:t>
      </w:r>
      <w:r w:rsidR="00A340B2">
        <w:t>.</w:t>
      </w:r>
    </w:p>
    <w:p w14:paraId="4086294D" w14:textId="77777777" w:rsidR="004931AA" w:rsidRDefault="004931AA" w:rsidP="00694A37">
      <w:pPr>
        <w:ind w:left="360"/>
        <w:jc w:val="both"/>
        <w:rPr>
          <w:b/>
        </w:rPr>
      </w:pPr>
    </w:p>
    <w:p w14:paraId="461A3027" w14:textId="2168E177" w:rsidR="00927968" w:rsidRDefault="00694A37" w:rsidP="00694A37">
      <w:pPr>
        <w:ind w:left="360"/>
        <w:jc w:val="both"/>
        <w:rPr>
          <w:bCs/>
          <w:iCs/>
        </w:rPr>
      </w:pPr>
      <w:r w:rsidRPr="008E756F">
        <w:rPr>
          <w:b/>
        </w:rPr>
        <w:t>10.000. Sociālā aizsardzība –</w:t>
      </w:r>
      <w:r w:rsidRPr="008E756F">
        <w:t xml:space="preserve"> izdevumi </w:t>
      </w:r>
      <w:r w:rsidRPr="008E756F">
        <w:rPr>
          <w:i/>
        </w:rPr>
        <w:t xml:space="preserve">tiek </w:t>
      </w:r>
      <w:r w:rsidR="007D1431">
        <w:rPr>
          <w:i/>
        </w:rPr>
        <w:t>palielināti</w:t>
      </w:r>
      <w:r w:rsidRPr="008E756F">
        <w:rPr>
          <w:i/>
        </w:rPr>
        <w:t xml:space="preserve"> </w:t>
      </w:r>
      <w:r w:rsidRPr="008E756F">
        <w:t xml:space="preserve">par </w:t>
      </w:r>
      <w:r w:rsidR="00DB1899">
        <w:rPr>
          <w:b/>
        </w:rPr>
        <w:t>36</w:t>
      </w:r>
      <w:r w:rsidR="00A340B2">
        <w:rPr>
          <w:b/>
        </w:rPr>
        <w:t>1</w:t>
      </w:r>
      <w:r w:rsidR="00DB1899">
        <w:rPr>
          <w:b/>
        </w:rPr>
        <w:t xml:space="preserve"> </w:t>
      </w:r>
      <w:r w:rsidR="00A340B2">
        <w:rPr>
          <w:b/>
        </w:rPr>
        <w:t>006</w:t>
      </w:r>
      <w:r w:rsidRPr="007D1431">
        <w:rPr>
          <w:b/>
        </w:rPr>
        <w:t> </w:t>
      </w:r>
      <w:proofErr w:type="spellStart"/>
      <w:r w:rsidRPr="007D1431">
        <w:rPr>
          <w:b/>
          <w:i/>
        </w:rPr>
        <w:t>euro</w:t>
      </w:r>
      <w:proofErr w:type="spellEnd"/>
      <w:r w:rsidR="007D1431">
        <w:t xml:space="preserve">, </w:t>
      </w:r>
      <w:r w:rsidR="007D1431" w:rsidRPr="007D1431">
        <w:rPr>
          <w:bCs/>
          <w:iCs/>
        </w:rPr>
        <w:t>kas</w:t>
      </w:r>
      <w:r w:rsidR="007D1431">
        <w:rPr>
          <w:bCs/>
          <w:iCs/>
        </w:rPr>
        <w:t xml:space="preserve"> ir </w:t>
      </w:r>
      <w:r w:rsidR="00927968">
        <w:rPr>
          <w:bCs/>
          <w:iCs/>
        </w:rPr>
        <w:t>novirzīti sekojošiem mērķiem:</w:t>
      </w:r>
    </w:p>
    <w:p w14:paraId="51DBF63C" w14:textId="1AC12D35" w:rsidR="00FF6F9E" w:rsidRPr="008E756F" w:rsidRDefault="00FF6F9E" w:rsidP="00FF6F9E">
      <w:pPr>
        <w:pStyle w:val="ListParagraph"/>
        <w:numPr>
          <w:ilvl w:val="0"/>
          <w:numId w:val="8"/>
        </w:numPr>
        <w:jc w:val="both"/>
      </w:pPr>
      <w:r w:rsidRPr="001925F6">
        <w:rPr>
          <w:b/>
          <w:bCs/>
        </w:rPr>
        <w:t>“</w:t>
      </w:r>
      <w:r w:rsidRPr="008E756F">
        <w:rPr>
          <w:b/>
        </w:rPr>
        <w:t>Invalīdu rehabilitācijas pasākumi, invalīdu transports un citas kompensācijas</w:t>
      </w:r>
      <w:r>
        <w:rPr>
          <w:b/>
        </w:rPr>
        <w:t>”</w:t>
      </w:r>
      <w:r w:rsidRPr="008E756F">
        <w:t xml:space="preserve"> </w:t>
      </w:r>
      <w:r>
        <w:t>(t</w:t>
      </w:r>
      <w:r w:rsidRPr="008E756F">
        <w:t>āme 10.121</w:t>
      </w:r>
      <w:r w:rsidRPr="00F87152">
        <w:t>.)</w:t>
      </w:r>
      <w:r>
        <w:t> –</w:t>
      </w:r>
      <w:r w:rsidRPr="00F87152">
        <w:t xml:space="preserve"> </w:t>
      </w:r>
      <w:r w:rsidRPr="00F82578">
        <w:t>izdevumi samazināti</w:t>
      </w:r>
      <w:r w:rsidRPr="00F87152">
        <w:t xml:space="preserve"> par</w:t>
      </w:r>
      <w:r w:rsidRPr="008E756F">
        <w:rPr>
          <w:i/>
        </w:rPr>
        <w:t xml:space="preserve"> </w:t>
      </w:r>
      <w:r>
        <w:rPr>
          <w:b/>
        </w:rPr>
        <w:t>–</w:t>
      </w:r>
      <w:r w:rsidRPr="00FE5897">
        <w:t xml:space="preserve">5 </w:t>
      </w:r>
      <w:r w:rsidR="00820E50" w:rsidRPr="00FE5897">
        <w:t>000</w:t>
      </w:r>
      <w:r w:rsidRPr="00FE5897">
        <w:rPr>
          <w:bCs/>
        </w:rPr>
        <w:t xml:space="preserve"> </w:t>
      </w:r>
      <w:proofErr w:type="spellStart"/>
      <w:r w:rsidRPr="00FE5897">
        <w:rPr>
          <w:i/>
        </w:rPr>
        <w:t>euro</w:t>
      </w:r>
      <w:proofErr w:type="spellEnd"/>
      <w:r w:rsidRPr="008E756F">
        <w:t xml:space="preserve">, </w:t>
      </w:r>
      <w:r w:rsidR="00820E50" w:rsidRPr="00800238">
        <w:t>kas novirzīt</w:t>
      </w:r>
      <w:r w:rsidR="00FA527F">
        <w:t>i</w:t>
      </w:r>
      <w:r w:rsidR="00820E50" w:rsidRPr="00800238">
        <w:t xml:space="preserve"> citu programmu īstenošanai</w:t>
      </w:r>
      <w:r w:rsidR="00FD4F00">
        <w:t>;</w:t>
      </w:r>
    </w:p>
    <w:p w14:paraId="0720CB54" w14:textId="7969855B" w:rsidR="00FF6F9E" w:rsidRPr="008E756F" w:rsidRDefault="00FF6F9E" w:rsidP="00FF6F9E">
      <w:pPr>
        <w:pStyle w:val="ListParagraph"/>
        <w:numPr>
          <w:ilvl w:val="0"/>
          <w:numId w:val="8"/>
        </w:numPr>
        <w:jc w:val="both"/>
        <w:rPr>
          <w:b/>
        </w:rPr>
      </w:pPr>
      <w:r w:rsidRPr="008E756F">
        <w:rPr>
          <w:b/>
        </w:rPr>
        <w:t>Dienas centrs “Harmonija”</w:t>
      </w:r>
      <w:r>
        <w:rPr>
          <w:b/>
        </w:rPr>
        <w:t xml:space="preserve"> </w:t>
      </w:r>
      <w:r>
        <w:t>(tāme 10.122</w:t>
      </w:r>
      <w:r w:rsidRPr="00F87152">
        <w:t>.)</w:t>
      </w:r>
      <w:r>
        <w:t> –</w:t>
      </w:r>
      <w:r w:rsidRPr="00F87152">
        <w:t xml:space="preserve"> </w:t>
      </w:r>
      <w:r w:rsidRPr="00FE5897">
        <w:t>dotācija samazināta</w:t>
      </w:r>
      <w:r w:rsidRPr="00F87152">
        <w:t xml:space="preserve"> par</w:t>
      </w:r>
      <w:r w:rsidRPr="008E756F">
        <w:t xml:space="preserve"> </w:t>
      </w:r>
      <w:r>
        <w:rPr>
          <w:b/>
        </w:rPr>
        <w:t>–</w:t>
      </w:r>
      <w:r w:rsidR="00820E50" w:rsidRPr="00FE5897">
        <w:rPr>
          <w:bCs/>
        </w:rPr>
        <w:t>2500</w:t>
      </w:r>
      <w:r w:rsidRPr="00FE5897">
        <w:rPr>
          <w:bCs/>
        </w:rPr>
        <w:t> </w:t>
      </w:r>
      <w:proofErr w:type="spellStart"/>
      <w:r w:rsidRPr="00FE5897">
        <w:rPr>
          <w:i/>
        </w:rPr>
        <w:t>euro</w:t>
      </w:r>
      <w:proofErr w:type="spellEnd"/>
      <w:r w:rsidRPr="008E756F">
        <w:t xml:space="preserve">, </w:t>
      </w:r>
      <w:r w:rsidRPr="00800238">
        <w:t>kas novirzīt</w:t>
      </w:r>
      <w:r>
        <w:t>a</w:t>
      </w:r>
      <w:r w:rsidRPr="00800238">
        <w:t xml:space="preserve"> citu programmu īstenošanai</w:t>
      </w:r>
      <w:r w:rsidR="00FD4F00">
        <w:t>;</w:t>
      </w:r>
      <w:r>
        <w:t xml:space="preserve"> </w:t>
      </w:r>
    </w:p>
    <w:p w14:paraId="102502A0" w14:textId="536F9136" w:rsidR="00FF6F9E" w:rsidRPr="008E756F" w:rsidRDefault="00FF6F9E" w:rsidP="00FF6F9E">
      <w:pPr>
        <w:pStyle w:val="ListParagraph"/>
        <w:numPr>
          <w:ilvl w:val="0"/>
          <w:numId w:val="8"/>
        </w:numPr>
        <w:jc w:val="both"/>
        <w:rPr>
          <w:b/>
        </w:rPr>
      </w:pPr>
      <w:r w:rsidRPr="008E756F">
        <w:rPr>
          <w:b/>
        </w:rPr>
        <w:t>Dienas centrs “</w:t>
      </w:r>
      <w:proofErr w:type="spellStart"/>
      <w:r>
        <w:rPr>
          <w:b/>
        </w:rPr>
        <w:t>Integra</w:t>
      </w:r>
      <w:proofErr w:type="spellEnd"/>
      <w:r w:rsidRPr="008E756F">
        <w:rPr>
          <w:b/>
        </w:rPr>
        <w:t>”</w:t>
      </w:r>
      <w:r>
        <w:rPr>
          <w:b/>
        </w:rPr>
        <w:t xml:space="preserve"> </w:t>
      </w:r>
      <w:r>
        <w:t xml:space="preserve">(tāme 10.123.) – </w:t>
      </w:r>
      <w:r w:rsidRPr="00FE5897">
        <w:t>dotācija palielināta</w:t>
      </w:r>
      <w:r w:rsidRPr="00F87152">
        <w:t xml:space="preserve"> par</w:t>
      </w:r>
      <w:r w:rsidRPr="008E756F">
        <w:rPr>
          <w:i/>
        </w:rPr>
        <w:t xml:space="preserve"> </w:t>
      </w:r>
      <w:r w:rsidR="00820E50" w:rsidRPr="00FE5897">
        <w:t>3000</w:t>
      </w:r>
      <w:r w:rsidRPr="00FE5897">
        <w:rPr>
          <w:bCs/>
        </w:rPr>
        <w:t> </w:t>
      </w:r>
      <w:proofErr w:type="spellStart"/>
      <w:r w:rsidRPr="00FE5897">
        <w:rPr>
          <w:i/>
        </w:rPr>
        <w:t>euro</w:t>
      </w:r>
      <w:proofErr w:type="spellEnd"/>
      <w:r w:rsidRPr="008E756F">
        <w:t xml:space="preserve"> </w:t>
      </w:r>
      <w:r>
        <w:t>centra uzturēšanas izdevumu segšanai</w:t>
      </w:r>
      <w:r w:rsidR="00FD4F00">
        <w:t>;</w:t>
      </w:r>
      <w:r>
        <w:t xml:space="preserve"> </w:t>
      </w:r>
    </w:p>
    <w:p w14:paraId="76E274EF" w14:textId="1DAFB9F8" w:rsidR="00FF6F9E" w:rsidRPr="00820E50" w:rsidRDefault="00FF6F9E" w:rsidP="00FF6F9E">
      <w:pPr>
        <w:pStyle w:val="ListParagraph"/>
        <w:numPr>
          <w:ilvl w:val="0"/>
          <w:numId w:val="8"/>
        </w:numPr>
        <w:jc w:val="both"/>
        <w:rPr>
          <w:b/>
        </w:rPr>
      </w:pPr>
      <w:r w:rsidRPr="00112860">
        <w:rPr>
          <w:b/>
        </w:rPr>
        <w:t xml:space="preserve">Dienas centrs “Atbalsts” </w:t>
      </w:r>
      <w:r>
        <w:t xml:space="preserve">(tāme 10.124.) – </w:t>
      </w:r>
      <w:r w:rsidRPr="00F87152">
        <w:t>dotācija palielināta par</w:t>
      </w:r>
      <w:r w:rsidRPr="008E756F">
        <w:t xml:space="preserve"> </w:t>
      </w:r>
      <w:r w:rsidR="00820E50" w:rsidRPr="00FE5897">
        <w:t>2500</w:t>
      </w:r>
      <w:r w:rsidRPr="00FE5897">
        <w:rPr>
          <w:bCs/>
        </w:rPr>
        <w:t> </w:t>
      </w:r>
      <w:proofErr w:type="spellStart"/>
      <w:r w:rsidRPr="00FE5897">
        <w:rPr>
          <w:i/>
        </w:rPr>
        <w:t>euro</w:t>
      </w:r>
      <w:proofErr w:type="spellEnd"/>
      <w:r w:rsidRPr="008E756F">
        <w:t xml:space="preserve"> </w:t>
      </w:r>
      <w:r>
        <w:t>centra uzturēšanas izdevumu segšanai</w:t>
      </w:r>
      <w:r w:rsidR="00FD4F00">
        <w:t>;</w:t>
      </w:r>
      <w:r>
        <w:t xml:space="preserve"> </w:t>
      </w:r>
    </w:p>
    <w:p w14:paraId="37BB1C01" w14:textId="5E177F0D" w:rsidR="00820E50" w:rsidRPr="00820E50" w:rsidRDefault="00820E50" w:rsidP="00FF6F9E">
      <w:pPr>
        <w:pStyle w:val="ListParagraph"/>
        <w:numPr>
          <w:ilvl w:val="0"/>
          <w:numId w:val="8"/>
        </w:numPr>
        <w:jc w:val="both"/>
        <w:rPr>
          <w:b/>
        </w:rPr>
      </w:pPr>
      <w:r w:rsidRPr="00FE5897">
        <w:t xml:space="preserve">15 100 </w:t>
      </w:r>
      <w:proofErr w:type="spellStart"/>
      <w:r w:rsidRPr="00FE5897"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F87152">
        <w:t>papildu finansējums tāmei 10</w:t>
      </w:r>
      <w:r>
        <w:t>.202</w:t>
      </w:r>
      <w:r w:rsidRPr="001925F6">
        <w:rPr>
          <w:bCs/>
        </w:rPr>
        <w:t>.</w:t>
      </w:r>
      <w:r>
        <w:rPr>
          <w:b/>
        </w:rPr>
        <w:t xml:space="preserve"> </w:t>
      </w:r>
      <w:r w:rsidRPr="00B0035A">
        <w:rPr>
          <w:b/>
        </w:rPr>
        <w:t>“Palīdzība veciem cilvēkiem”</w:t>
      </w:r>
      <w:r>
        <w:rPr>
          <w:bCs/>
        </w:rPr>
        <w:t> –</w:t>
      </w:r>
      <w:r>
        <w:t xml:space="preserve"> </w:t>
      </w:r>
      <w:r w:rsidRPr="00B0035A">
        <w:t>pabalst</w:t>
      </w:r>
      <w:r>
        <w:t xml:space="preserve">iem </w:t>
      </w:r>
      <w:r w:rsidRPr="00B0035A">
        <w:t>pilsētas sabiedriskā transporta maksas segšana pensionāriem</w:t>
      </w:r>
      <w:r>
        <w:t xml:space="preserve">, t.sk. 100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valsts budžeta finansējums </w:t>
      </w:r>
      <w:r w:rsidRPr="00B0035A">
        <w:t>pabalst</w:t>
      </w:r>
      <w:r>
        <w:t xml:space="preserve">iem </w:t>
      </w:r>
      <w:r w:rsidRPr="00B0035A">
        <w:t>pilsētas sabiedriskā transporta maksas segšana</w:t>
      </w:r>
      <w:r>
        <w:t>i</w:t>
      </w:r>
      <w:r w:rsidRPr="00B0035A">
        <w:t xml:space="preserve"> </w:t>
      </w:r>
      <w:r>
        <w:t xml:space="preserve">Ukrainas civiliedzīvotājiem </w:t>
      </w:r>
      <w:r w:rsidRPr="00B0035A">
        <w:t>pensionāriem</w:t>
      </w:r>
      <w:r>
        <w:t xml:space="preserve"> saskaņā ar </w:t>
      </w:r>
      <w:r w:rsidRPr="00B0035A">
        <w:t>Ukrainas civiliedzīvotāju atbalsta likum</w:t>
      </w:r>
      <w:r>
        <w:t>u</w:t>
      </w:r>
      <w:r w:rsidR="00FD4F00">
        <w:t>;</w:t>
      </w:r>
    </w:p>
    <w:p w14:paraId="5E6B0252" w14:textId="1DC9446D" w:rsidR="00820E50" w:rsidRPr="008E756F" w:rsidRDefault="00820E50" w:rsidP="00820E50">
      <w:pPr>
        <w:pStyle w:val="ListParagraph"/>
        <w:numPr>
          <w:ilvl w:val="0"/>
          <w:numId w:val="8"/>
        </w:numPr>
        <w:jc w:val="both"/>
      </w:pPr>
      <w:r w:rsidRPr="00FE5897">
        <w:t xml:space="preserve">7200 </w:t>
      </w:r>
      <w:proofErr w:type="spellStart"/>
      <w:r w:rsidRPr="00FE5897">
        <w:rPr>
          <w:i/>
        </w:rPr>
        <w:t>euro</w:t>
      </w:r>
      <w:proofErr w:type="spellEnd"/>
      <w:r w:rsidRPr="00CB58AF">
        <w:rPr>
          <w:i/>
        </w:rPr>
        <w:t xml:space="preserve"> </w:t>
      </w:r>
      <w:r w:rsidRPr="00CB58AF">
        <w:rPr>
          <w:b/>
        </w:rPr>
        <w:t xml:space="preserve">– </w:t>
      </w:r>
      <w:r>
        <w:t>papildu</w:t>
      </w:r>
      <w:r w:rsidRPr="00F87152">
        <w:rPr>
          <w:b/>
        </w:rPr>
        <w:t xml:space="preserve"> </w:t>
      </w:r>
      <w:r w:rsidRPr="00F87152">
        <w:t>finansējums</w:t>
      </w:r>
      <w:r w:rsidRPr="00CB58AF">
        <w:rPr>
          <w:b/>
        </w:rPr>
        <w:t xml:space="preserve"> </w:t>
      </w:r>
      <w:r w:rsidRPr="008E756F">
        <w:t xml:space="preserve">tāmei </w:t>
      </w:r>
      <w:r>
        <w:t xml:space="preserve">10.402. </w:t>
      </w:r>
      <w:r w:rsidRPr="00CB58AF">
        <w:rPr>
          <w:b/>
        </w:rPr>
        <w:t>“Sociālā palīdzība ģimenēm ar bērniem un vardarbībā cietušo bērnu rehabilitācija”</w:t>
      </w:r>
      <w:r>
        <w:rPr>
          <w:b/>
        </w:rPr>
        <w:t xml:space="preserve"> </w:t>
      </w:r>
      <w:r w:rsidRPr="00820E50">
        <w:t xml:space="preserve">ēdināšanas pakalpojumu apmaksai </w:t>
      </w:r>
      <w:proofErr w:type="spellStart"/>
      <w:r w:rsidRPr="00820E50">
        <w:t>daudzbērnu</w:t>
      </w:r>
      <w:proofErr w:type="spellEnd"/>
      <w:r w:rsidRPr="00820E50">
        <w:t xml:space="preserve"> ģimenēm</w:t>
      </w:r>
      <w:r w:rsidR="00FD4F00">
        <w:t>;</w:t>
      </w:r>
    </w:p>
    <w:p w14:paraId="106381AF" w14:textId="79A539A6" w:rsidR="00820E50" w:rsidRPr="00A64E1A" w:rsidRDefault="00820E50" w:rsidP="00820E50">
      <w:pPr>
        <w:pStyle w:val="ListParagraph"/>
        <w:numPr>
          <w:ilvl w:val="0"/>
          <w:numId w:val="8"/>
        </w:numPr>
        <w:jc w:val="both"/>
      </w:pPr>
      <w:r w:rsidRPr="008E756F">
        <w:t xml:space="preserve">tāmei </w:t>
      </w:r>
      <w:r>
        <w:t xml:space="preserve">10.601. </w:t>
      </w:r>
      <w:r w:rsidRPr="008E756F">
        <w:rPr>
          <w:b/>
        </w:rPr>
        <w:t>“Mājokļa pabalsts un pabalsts individuālās apkures nodrošināšanai”</w:t>
      </w:r>
      <w:r>
        <w:rPr>
          <w:b/>
        </w:rPr>
        <w:t xml:space="preserve"> </w:t>
      </w:r>
      <w:r w:rsidRPr="00820E50">
        <w:t>izdevumi samazināti</w:t>
      </w:r>
      <w:r>
        <w:rPr>
          <w:b/>
        </w:rPr>
        <w:t xml:space="preserve"> </w:t>
      </w:r>
      <w:r w:rsidRPr="00F87152">
        <w:t>par</w:t>
      </w:r>
      <w:r w:rsidRPr="008E756F">
        <w:rPr>
          <w:i/>
        </w:rPr>
        <w:t xml:space="preserve"> </w:t>
      </w:r>
      <w:r w:rsidRPr="00FE5897">
        <w:t>–17 500</w:t>
      </w:r>
      <w:r w:rsidRPr="00FE5897">
        <w:rPr>
          <w:bCs/>
        </w:rPr>
        <w:t xml:space="preserve"> </w:t>
      </w:r>
      <w:proofErr w:type="spellStart"/>
      <w:r w:rsidRPr="00FE5897">
        <w:rPr>
          <w:i/>
        </w:rPr>
        <w:t>euro</w:t>
      </w:r>
      <w:proofErr w:type="spellEnd"/>
      <w:r w:rsidRPr="008E756F">
        <w:t xml:space="preserve">, </w:t>
      </w:r>
      <w:r w:rsidRPr="00800238">
        <w:t>kas novirzīt</w:t>
      </w:r>
      <w:r w:rsidR="00FA527F">
        <w:t>i</w:t>
      </w:r>
      <w:r w:rsidRPr="00800238">
        <w:t xml:space="preserve"> citu programmu īstenošanai</w:t>
      </w:r>
      <w:r w:rsidR="00FD4F00">
        <w:t>;</w:t>
      </w:r>
    </w:p>
    <w:p w14:paraId="1CA30CE4" w14:textId="1C280B98" w:rsidR="00820E50" w:rsidRPr="00AA1FF1" w:rsidRDefault="00820E50" w:rsidP="00820E50">
      <w:pPr>
        <w:pStyle w:val="ListParagraph"/>
        <w:numPr>
          <w:ilvl w:val="0"/>
          <w:numId w:val="8"/>
        </w:numPr>
        <w:jc w:val="both"/>
        <w:rPr>
          <w:b/>
        </w:rPr>
      </w:pPr>
      <w:r w:rsidRPr="00AA1FF1">
        <w:rPr>
          <w:b/>
        </w:rPr>
        <w:t>“</w:t>
      </w:r>
      <w:r w:rsidRPr="00084FA8">
        <w:rPr>
          <w:b/>
        </w:rPr>
        <w:t>Higiēnas centrs</w:t>
      </w:r>
      <w:r w:rsidRPr="00AA1FF1">
        <w:rPr>
          <w:b/>
        </w:rPr>
        <w:t>”</w:t>
      </w:r>
      <w:r>
        <w:rPr>
          <w:b/>
        </w:rPr>
        <w:t xml:space="preserve"> </w:t>
      </w:r>
      <w:r>
        <w:t xml:space="preserve">(tāme 10.707.) – </w:t>
      </w:r>
      <w:r w:rsidRPr="00F87152">
        <w:t>papildu dotācija</w:t>
      </w:r>
      <w:r>
        <w:rPr>
          <w:i/>
        </w:rPr>
        <w:t xml:space="preserve"> </w:t>
      </w:r>
      <w:r w:rsidRPr="00FE5897">
        <w:t xml:space="preserve">1590 </w:t>
      </w:r>
      <w:proofErr w:type="spellStart"/>
      <w:r w:rsidRPr="00FE5897">
        <w:rPr>
          <w:i/>
        </w:rPr>
        <w:t>euro</w:t>
      </w:r>
      <w:proofErr w:type="spellEnd"/>
      <w:r>
        <w:rPr>
          <w:b/>
          <w:i/>
        </w:rPr>
        <w:t xml:space="preserve"> </w:t>
      </w:r>
      <w:r>
        <w:t>uzturēšanas izdevumu segšanai</w:t>
      </w:r>
      <w:r w:rsidR="00FD4F00">
        <w:t>;</w:t>
      </w:r>
    </w:p>
    <w:p w14:paraId="445A6150" w14:textId="1D7F7EC7" w:rsidR="00820E50" w:rsidRDefault="00820E50" w:rsidP="00820E50">
      <w:pPr>
        <w:pStyle w:val="ListParagraph"/>
        <w:numPr>
          <w:ilvl w:val="0"/>
          <w:numId w:val="8"/>
        </w:numPr>
        <w:jc w:val="both"/>
      </w:pPr>
      <w:r>
        <w:rPr>
          <w:b/>
        </w:rPr>
        <w:t xml:space="preserve">“Specializētās darbnīcas” </w:t>
      </w:r>
      <w:r>
        <w:t xml:space="preserve">(tāme 10.713.) </w:t>
      </w:r>
      <w:r w:rsidRPr="00C32C14">
        <w:rPr>
          <w:b/>
        </w:rPr>
        <w:t xml:space="preserve">– </w:t>
      </w:r>
      <w:r w:rsidRPr="00F87152">
        <w:t>papildu dotācija</w:t>
      </w:r>
      <w:r>
        <w:rPr>
          <w:i/>
        </w:rPr>
        <w:t xml:space="preserve"> </w:t>
      </w:r>
      <w:r w:rsidRPr="00FE5897">
        <w:t xml:space="preserve">6813 </w:t>
      </w:r>
      <w:proofErr w:type="spellStart"/>
      <w:r w:rsidRPr="00FE5897">
        <w:rPr>
          <w:i/>
        </w:rPr>
        <w:t>euro</w:t>
      </w:r>
      <w:proofErr w:type="spellEnd"/>
      <w:r>
        <w:rPr>
          <w:b/>
          <w:i/>
        </w:rPr>
        <w:t xml:space="preserve"> </w:t>
      </w:r>
      <w:r>
        <w:t>uzturēšanas izdevumu segšanai</w:t>
      </w:r>
      <w:r w:rsidR="00FD4F00">
        <w:t>;</w:t>
      </w:r>
    </w:p>
    <w:p w14:paraId="65DA1E9B" w14:textId="13F37C52" w:rsidR="00820E50" w:rsidRPr="00F246B1" w:rsidRDefault="00820E50" w:rsidP="00820E50">
      <w:pPr>
        <w:pStyle w:val="ListParagraph"/>
        <w:numPr>
          <w:ilvl w:val="0"/>
          <w:numId w:val="8"/>
        </w:numPr>
        <w:jc w:val="both"/>
        <w:rPr>
          <w:b/>
          <w:i/>
        </w:rPr>
      </w:pPr>
      <w:r>
        <w:rPr>
          <w:b/>
        </w:rPr>
        <w:t>“</w:t>
      </w:r>
      <w:r w:rsidRPr="00570B11">
        <w:rPr>
          <w:b/>
        </w:rPr>
        <w:t>J</w:t>
      </w:r>
      <w:r>
        <w:rPr>
          <w:b/>
        </w:rPr>
        <w:t>VPPI</w:t>
      </w:r>
      <w:r w:rsidRPr="00570B11">
        <w:rPr>
          <w:b/>
        </w:rPr>
        <w:t xml:space="preserve"> “Jelgavas </w:t>
      </w:r>
      <w:r>
        <w:rPr>
          <w:b/>
        </w:rPr>
        <w:t>sociālo lietu pārvalde</w:t>
      </w:r>
      <w:r w:rsidRPr="00570B11">
        <w:rPr>
          <w:b/>
        </w:rPr>
        <w:t>” darbības nodrošināšana</w:t>
      </w:r>
      <w:r>
        <w:rPr>
          <w:b/>
        </w:rPr>
        <w:t xml:space="preserve">” </w:t>
      </w:r>
      <w:r w:rsidRPr="001925F6">
        <w:rPr>
          <w:bCs/>
        </w:rPr>
        <w:t>(</w:t>
      </w:r>
      <w:r>
        <w:t>tāme 10.911.) –</w:t>
      </w:r>
      <w:r>
        <w:rPr>
          <w:b/>
        </w:rPr>
        <w:t xml:space="preserve"> </w:t>
      </w:r>
      <w:r w:rsidRPr="00F87152">
        <w:t xml:space="preserve">izdevumi samazināti par </w:t>
      </w:r>
      <w:r w:rsidRPr="00FE5897">
        <w:t>–11 403</w:t>
      </w:r>
      <w:r w:rsidRPr="00FE5897">
        <w:rPr>
          <w:bCs/>
        </w:rPr>
        <w:t xml:space="preserve"> </w:t>
      </w:r>
      <w:proofErr w:type="spellStart"/>
      <w:r w:rsidRPr="00FE5897">
        <w:rPr>
          <w:i/>
        </w:rPr>
        <w:t>euro</w:t>
      </w:r>
      <w:proofErr w:type="spellEnd"/>
      <w:r w:rsidRPr="00FE5897">
        <w:t>,</w:t>
      </w:r>
      <w:r>
        <w:t xml:space="preserve"> kas </w:t>
      </w:r>
      <w:r w:rsidR="00FA527F" w:rsidRPr="00800238">
        <w:t>novirzīt</w:t>
      </w:r>
      <w:r w:rsidR="00FA527F">
        <w:t>i</w:t>
      </w:r>
      <w:r w:rsidR="00FA527F" w:rsidRPr="00800238">
        <w:t xml:space="preserve"> citu programmu īstenošanai</w:t>
      </w:r>
      <w:r w:rsidR="00FD4F00">
        <w:t>;</w:t>
      </w:r>
    </w:p>
    <w:p w14:paraId="4D94BEDD" w14:textId="19A7E4EC" w:rsidR="00820E50" w:rsidRPr="004F69A9" w:rsidRDefault="00FA527F" w:rsidP="00FF6F9E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lastRenderedPageBreak/>
        <w:t xml:space="preserve">Braukšanas maksas atvieglojumi skolēniem sabiedriskajā transportā </w:t>
      </w:r>
      <w:r w:rsidRPr="001925F6">
        <w:rPr>
          <w:bCs/>
        </w:rPr>
        <w:t>(</w:t>
      </w:r>
      <w:r>
        <w:t>tāme 10.922.)</w:t>
      </w:r>
      <w:r w:rsidRPr="00FA527F">
        <w:t xml:space="preserve"> </w:t>
      </w:r>
      <w:r>
        <w:t xml:space="preserve">– papildu dotācija </w:t>
      </w:r>
      <w:r w:rsidRPr="00FE5897">
        <w:t>56 </w:t>
      </w:r>
      <w:r w:rsidR="00A340B2">
        <w:t>237</w:t>
      </w:r>
      <w:r w:rsidRPr="00FE5897">
        <w:t xml:space="preserve"> </w:t>
      </w:r>
      <w:proofErr w:type="spellStart"/>
      <w:r w:rsidRPr="00FE5897">
        <w:rPr>
          <w:i/>
        </w:rPr>
        <w:t>euro</w:t>
      </w:r>
      <w:proofErr w:type="spellEnd"/>
      <w:r>
        <w:t xml:space="preserve"> braukšanas maksas izdevumu segšanai</w:t>
      </w:r>
      <w:r w:rsidR="00FD4F00">
        <w:t>;</w:t>
      </w:r>
    </w:p>
    <w:p w14:paraId="5C87CE00" w14:textId="758D15B1" w:rsidR="004F69A9" w:rsidRPr="00927968" w:rsidRDefault="004F69A9" w:rsidP="004F69A9">
      <w:pPr>
        <w:pStyle w:val="ListParagraph"/>
        <w:numPr>
          <w:ilvl w:val="0"/>
          <w:numId w:val="8"/>
        </w:numPr>
        <w:jc w:val="both"/>
        <w:rPr>
          <w:caps/>
        </w:rPr>
      </w:pPr>
      <w:r w:rsidRPr="00FE5897">
        <w:t>30</w:t>
      </w:r>
      <w:r w:rsidR="00FE5897" w:rsidRPr="00FE5897">
        <w:t>4</w:t>
      </w:r>
      <w:r w:rsidRPr="00FE5897">
        <w:t> </w:t>
      </w:r>
      <w:r w:rsidR="00FE5897" w:rsidRPr="00FE5897">
        <w:t>969</w:t>
      </w:r>
      <w:r w:rsidRPr="00FE5897">
        <w:t xml:space="preserve"> </w:t>
      </w:r>
      <w:proofErr w:type="spellStart"/>
      <w:r w:rsidRPr="00FE5897">
        <w:rPr>
          <w:i/>
        </w:rPr>
        <w:t>euro</w:t>
      </w:r>
      <w:proofErr w:type="spellEnd"/>
      <w: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927968">
        <w:t>papildu finansējums t</w:t>
      </w:r>
      <w:r>
        <w:t>āmei  “</w:t>
      </w:r>
      <w:r w:rsidRPr="00927968">
        <w:rPr>
          <w:b/>
        </w:rPr>
        <w:t xml:space="preserve">10.925. </w:t>
      </w:r>
      <w:r>
        <w:rPr>
          <w:b/>
        </w:rPr>
        <w:t>“</w:t>
      </w:r>
      <w:r w:rsidRPr="00927968">
        <w:rPr>
          <w:b/>
        </w:rPr>
        <w:t>Atbalsts iedzīvotājiem dabas stihijas radīto postījumu novēršanai</w:t>
      </w:r>
      <w:r>
        <w:rPr>
          <w:b/>
        </w:rPr>
        <w:t>””</w:t>
      </w:r>
      <w:r w:rsidRPr="002B0E95">
        <w:t>,</w:t>
      </w:r>
      <w:r>
        <w:rPr>
          <w:b/>
        </w:rPr>
        <w:t xml:space="preserve"> </w:t>
      </w:r>
      <w:r w:rsidRPr="00927968">
        <w:t>t.sk.</w:t>
      </w:r>
      <w:r w:rsidR="004931AA">
        <w:t>:</w:t>
      </w:r>
    </w:p>
    <w:p w14:paraId="113A953D" w14:textId="77777777" w:rsidR="00FE5897" w:rsidRPr="00FE5897" w:rsidRDefault="00FE5897" w:rsidP="00FE5897">
      <w:pPr>
        <w:pStyle w:val="ListParagraph"/>
        <w:numPr>
          <w:ilvl w:val="1"/>
          <w:numId w:val="8"/>
        </w:numPr>
        <w:jc w:val="both"/>
        <w:rPr>
          <w:b/>
        </w:rPr>
      </w:pPr>
      <w:r>
        <w:t>274 472</w:t>
      </w:r>
      <w:r w:rsidR="004F69A9">
        <w:t xml:space="preserve"> </w:t>
      </w:r>
      <w:proofErr w:type="spellStart"/>
      <w:r w:rsidR="004F69A9" w:rsidRPr="00FE5897">
        <w:rPr>
          <w:i/>
        </w:rPr>
        <w:t>euro</w:t>
      </w:r>
      <w:proofErr w:type="spellEnd"/>
      <w:r w:rsidR="004F69A9" w:rsidRPr="00FE5897">
        <w:rPr>
          <w:i/>
        </w:rPr>
        <w:t xml:space="preserve"> </w:t>
      </w:r>
      <w:r w:rsidR="004F69A9" w:rsidRPr="00FE5897">
        <w:rPr>
          <w:b/>
        </w:rPr>
        <w:t xml:space="preserve">– </w:t>
      </w:r>
      <w:r w:rsidR="004F69A9" w:rsidRPr="00927968">
        <w:t>VARAM</w:t>
      </w:r>
      <w:r w:rsidR="004F69A9" w:rsidRPr="00FE5897">
        <w:rPr>
          <w:b/>
        </w:rPr>
        <w:t xml:space="preserve"> </w:t>
      </w:r>
      <w:r w:rsidR="004F69A9" w:rsidRPr="00927968">
        <w:t>finansējums</w:t>
      </w:r>
      <w:r w:rsidR="004F69A9">
        <w:t xml:space="preserve"> 90%</w:t>
      </w:r>
      <w:r w:rsidR="004F69A9" w:rsidRPr="00927968">
        <w:t xml:space="preserve"> </w:t>
      </w:r>
      <w:r w:rsidR="004F69A9">
        <w:t>(pārvirzītais finansējums no tāmes 05.202.),</w:t>
      </w:r>
    </w:p>
    <w:p w14:paraId="1E52294A" w14:textId="477751A9" w:rsidR="004F69A9" w:rsidRPr="00FE5897" w:rsidRDefault="004F69A9" w:rsidP="00FE5897">
      <w:pPr>
        <w:pStyle w:val="ListParagraph"/>
        <w:numPr>
          <w:ilvl w:val="1"/>
          <w:numId w:val="8"/>
        </w:numPr>
        <w:jc w:val="both"/>
        <w:rPr>
          <w:b/>
        </w:rPr>
      </w:pPr>
      <w:r>
        <w:t>30 </w:t>
      </w:r>
      <w:r w:rsidR="00FE5897">
        <w:t>497</w:t>
      </w:r>
      <w:r>
        <w:t xml:space="preserve"> </w:t>
      </w:r>
      <w:proofErr w:type="spellStart"/>
      <w:r w:rsidRPr="00FE5897">
        <w:rPr>
          <w:i/>
        </w:rPr>
        <w:t>euro</w:t>
      </w:r>
      <w:proofErr w:type="spellEnd"/>
      <w:r w:rsidRPr="00FE5897">
        <w:rPr>
          <w:i/>
        </w:rPr>
        <w:t xml:space="preserve"> </w:t>
      </w:r>
      <w:r w:rsidRPr="00FE5897">
        <w:rPr>
          <w:b/>
        </w:rPr>
        <w:t xml:space="preserve">– </w:t>
      </w:r>
      <w:r w:rsidRPr="0037248B">
        <w:t>Pašvaldības līdzfinansējums</w:t>
      </w:r>
      <w:r w:rsidR="00FE5897">
        <w:t>.</w:t>
      </w:r>
    </w:p>
    <w:p w14:paraId="02AFCA32" w14:textId="77777777" w:rsidR="0072016D" w:rsidRDefault="0072016D" w:rsidP="0072016D">
      <w:pPr>
        <w:ind w:left="1080"/>
        <w:jc w:val="center"/>
        <w:rPr>
          <w:b/>
          <w:caps/>
        </w:rPr>
      </w:pPr>
    </w:p>
    <w:p w14:paraId="17436706" w14:textId="77777777" w:rsidR="00450896" w:rsidRPr="008E756F" w:rsidRDefault="00450896" w:rsidP="0072016D">
      <w:pPr>
        <w:ind w:left="1080"/>
        <w:jc w:val="center"/>
        <w:rPr>
          <w:b/>
          <w:caps/>
        </w:rPr>
      </w:pPr>
    </w:p>
    <w:p w14:paraId="66CE6BFC" w14:textId="77777777" w:rsidR="0072016D" w:rsidRPr="008E756F" w:rsidRDefault="0072016D" w:rsidP="0072016D">
      <w:pPr>
        <w:ind w:firstLine="567"/>
        <w:jc w:val="both"/>
      </w:pPr>
      <w:r w:rsidRPr="008E756F">
        <w:t>Domes priekšsēdētājs</w:t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  <w:t>A. Rāviņš</w:t>
      </w:r>
    </w:p>
    <w:p w14:paraId="181198C9" w14:textId="77777777" w:rsidR="0072016D" w:rsidRPr="008E756F" w:rsidRDefault="0072016D" w:rsidP="0072016D">
      <w:pPr>
        <w:ind w:left="556"/>
        <w:jc w:val="both"/>
      </w:pPr>
    </w:p>
    <w:p w14:paraId="0345BE63" w14:textId="5444CCE2" w:rsidR="005F450A" w:rsidRPr="00450896" w:rsidRDefault="0072016D" w:rsidP="00450896">
      <w:pPr>
        <w:ind w:left="556"/>
        <w:jc w:val="both"/>
        <w:rPr>
          <w:sz w:val="20"/>
          <w:szCs w:val="20"/>
        </w:rPr>
      </w:pPr>
      <w:r w:rsidRPr="00450896">
        <w:rPr>
          <w:sz w:val="20"/>
          <w:szCs w:val="20"/>
        </w:rPr>
        <w:t>I. Krīgere,</w:t>
      </w:r>
      <w:r w:rsidR="00450896" w:rsidRPr="00450896">
        <w:rPr>
          <w:sz w:val="20"/>
          <w:szCs w:val="20"/>
        </w:rPr>
        <w:t xml:space="preserve"> </w:t>
      </w:r>
      <w:r w:rsidRPr="00450896">
        <w:rPr>
          <w:sz w:val="20"/>
          <w:szCs w:val="20"/>
        </w:rPr>
        <w:t>63005525</w:t>
      </w:r>
    </w:p>
    <w:sectPr w:rsidR="005F450A" w:rsidRPr="00450896" w:rsidSect="00995AEF">
      <w:headerReference w:type="first" r:id="rId7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47F410" w16cex:dateUtc="2024-04-30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82FDA5" w16cid:durableId="4647F4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4CCBA" w14:textId="77777777" w:rsidR="00F90EE7" w:rsidRDefault="00F90EE7">
      <w:r>
        <w:separator/>
      </w:r>
    </w:p>
  </w:endnote>
  <w:endnote w:type="continuationSeparator" w:id="0">
    <w:p w14:paraId="70D508BC" w14:textId="77777777" w:rsidR="00F90EE7" w:rsidRDefault="00F9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4B63E" w14:textId="77777777" w:rsidR="00F90EE7" w:rsidRDefault="00F90EE7">
      <w:r>
        <w:separator/>
      </w:r>
    </w:p>
  </w:footnote>
  <w:footnote w:type="continuationSeparator" w:id="0">
    <w:p w14:paraId="7DC2D466" w14:textId="77777777" w:rsidR="00F90EE7" w:rsidRDefault="00F9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166E10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166E10" w:rsidRDefault="00166E10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166E10" w:rsidRDefault="00166E10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166E10" w:rsidRPr="00BA4C9C" w:rsidRDefault="00166E10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166E10" w:rsidRDefault="00166E10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166E10" w:rsidRPr="00727F3B" w:rsidRDefault="00166E10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166E10" w:rsidRPr="009B0803" w:rsidRDefault="00166E10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166E10" w:rsidRPr="007D6584" w:rsidRDefault="00166E10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E76"/>
    <w:multiLevelType w:val="hybridMultilevel"/>
    <w:tmpl w:val="CE1A36A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5693DE6"/>
    <w:multiLevelType w:val="hybridMultilevel"/>
    <w:tmpl w:val="AA0645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63601"/>
    <w:multiLevelType w:val="hybridMultilevel"/>
    <w:tmpl w:val="F8543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47B4A"/>
    <w:multiLevelType w:val="hybridMultilevel"/>
    <w:tmpl w:val="48E849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B19F8"/>
    <w:multiLevelType w:val="hybridMultilevel"/>
    <w:tmpl w:val="C7965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304B"/>
    <w:multiLevelType w:val="hybridMultilevel"/>
    <w:tmpl w:val="5DCCC24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37CB1"/>
    <w:multiLevelType w:val="hybridMultilevel"/>
    <w:tmpl w:val="A624253E"/>
    <w:lvl w:ilvl="0" w:tplc="6B1EE5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913F7"/>
    <w:multiLevelType w:val="hybridMultilevel"/>
    <w:tmpl w:val="1804D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8054B"/>
    <w:multiLevelType w:val="hybridMultilevel"/>
    <w:tmpl w:val="8536EDE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3E6734"/>
    <w:multiLevelType w:val="hybridMultilevel"/>
    <w:tmpl w:val="F61424C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23A60"/>
    <w:multiLevelType w:val="hybridMultilevel"/>
    <w:tmpl w:val="6DBAF07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012E"/>
    <w:multiLevelType w:val="hybridMultilevel"/>
    <w:tmpl w:val="B0E8691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3"/>
  </w:num>
  <w:num w:numId="5">
    <w:abstractNumId w:val="11"/>
  </w:num>
  <w:num w:numId="6">
    <w:abstractNumId w:val="15"/>
  </w:num>
  <w:num w:numId="7">
    <w:abstractNumId w:val="26"/>
  </w:num>
  <w:num w:numId="8">
    <w:abstractNumId w:val="14"/>
  </w:num>
  <w:num w:numId="9">
    <w:abstractNumId w:val="25"/>
  </w:num>
  <w:num w:numId="10">
    <w:abstractNumId w:val="9"/>
  </w:num>
  <w:num w:numId="11">
    <w:abstractNumId w:val="27"/>
  </w:num>
  <w:num w:numId="12">
    <w:abstractNumId w:val="17"/>
  </w:num>
  <w:num w:numId="13">
    <w:abstractNumId w:val="22"/>
  </w:num>
  <w:num w:numId="14">
    <w:abstractNumId w:val="28"/>
  </w:num>
  <w:num w:numId="15">
    <w:abstractNumId w:val="0"/>
  </w:num>
  <w:num w:numId="16">
    <w:abstractNumId w:val="2"/>
  </w:num>
  <w:num w:numId="17">
    <w:abstractNumId w:val="24"/>
  </w:num>
  <w:num w:numId="18">
    <w:abstractNumId w:val="23"/>
  </w:num>
  <w:num w:numId="19">
    <w:abstractNumId w:val="18"/>
  </w:num>
  <w:num w:numId="20">
    <w:abstractNumId w:val="7"/>
  </w:num>
  <w:num w:numId="21">
    <w:abstractNumId w:val="21"/>
  </w:num>
  <w:num w:numId="22">
    <w:abstractNumId w:val="1"/>
  </w:num>
  <w:num w:numId="23">
    <w:abstractNumId w:val="8"/>
  </w:num>
  <w:num w:numId="24">
    <w:abstractNumId w:val="5"/>
  </w:num>
  <w:num w:numId="25">
    <w:abstractNumId w:val="4"/>
  </w:num>
  <w:num w:numId="26">
    <w:abstractNumId w:val="20"/>
  </w:num>
  <w:num w:numId="27">
    <w:abstractNumId w:val="12"/>
  </w:num>
  <w:num w:numId="28">
    <w:abstractNumId w:val="3"/>
  </w:num>
  <w:num w:numId="2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A0B"/>
    <w:rsid w:val="00006EE1"/>
    <w:rsid w:val="00013B43"/>
    <w:rsid w:val="00021DDE"/>
    <w:rsid w:val="00022B77"/>
    <w:rsid w:val="00025DEE"/>
    <w:rsid w:val="00026AD4"/>
    <w:rsid w:val="00030783"/>
    <w:rsid w:val="00031AAC"/>
    <w:rsid w:val="0003200F"/>
    <w:rsid w:val="00037D2C"/>
    <w:rsid w:val="00042F3C"/>
    <w:rsid w:val="0005479E"/>
    <w:rsid w:val="00054B4E"/>
    <w:rsid w:val="00054DC2"/>
    <w:rsid w:val="00074034"/>
    <w:rsid w:val="00091194"/>
    <w:rsid w:val="00095B3F"/>
    <w:rsid w:val="000A20A8"/>
    <w:rsid w:val="000A2C1D"/>
    <w:rsid w:val="000A2FCC"/>
    <w:rsid w:val="000A4087"/>
    <w:rsid w:val="000A4C08"/>
    <w:rsid w:val="000A68F5"/>
    <w:rsid w:val="000A76AE"/>
    <w:rsid w:val="000B101B"/>
    <w:rsid w:val="000B5404"/>
    <w:rsid w:val="000B6EDD"/>
    <w:rsid w:val="000C0C2C"/>
    <w:rsid w:val="000C6AAD"/>
    <w:rsid w:val="000D2483"/>
    <w:rsid w:val="000D7103"/>
    <w:rsid w:val="000F035A"/>
    <w:rsid w:val="000F7FB5"/>
    <w:rsid w:val="0010263E"/>
    <w:rsid w:val="001040AD"/>
    <w:rsid w:val="0011031C"/>
    <w:rsid w:val="00110A1A"/>
    <w:rsid w:val="00110C05"/>
    <w:rsid w:val="00112129"/>
    <w:rsid w:val="00114B5C"/>
    <w:rsid w:val="00115424"/>
    <w:rsid w:val="001212DC"/>
    <w:rsid w:val="00123F2E"/>
    <w:rsid w:val="00126922"/>
    <w:rsid w:val="00134725"/>
    <w:rsid w:val="00141040"/>
    <w:rsid w:val="001419F8"/>
    <w:rsid w:val="00141EF9"/>
    <w:rsid w:val="00143564"/>
    <w:rsid w:val="00152EC2"/>
    <w:rsid w:val="0016014C"/>
    <w:rsid w:val="0016026A"/>
    <w:rsid w:val="0016296E"/>
    <w:rsid w:val="001665DB"/>
    <w:rsid w:val="00166E10"/>
    <w:rsid w:val="00167F75"/>
    <w:rsid w:val="00170DCD"/>
    <w:rsid w:val="00177392"/>
    <w:rsid w:val="00182448"/>
    <w:rsid w:val="001826DF"/>
    <w:rsid w:val="001901A4"/>
    <w:rsid w:val="0019081C"/>
    <w:rsid w:val="00190A50"/>
    <w:rsid w:val="00191983"/>
    <w:rsid w:val="00194D73"/>
    <w:rsid w:val="001958F2"/>
    <w:rsid w:val="001A2B99"/>
    <w:rsid w:val="001A5DFD"/>
    <w:rsid w:val="001A7689"/>
    <w:rsid w:val="001B2BC9"/>
    <w:rsid w:val="001B533B"/>
    <w:rsid w:val="001B767A"/>
    <w:rsid w:val="001C21E6"/>
    <w:rsid w:val="001C756C"/>
    <w:rsid w:val="001D42FF"/>
    <w:rsid w:val="001D4CB2"/>
    <w:rsid w:val="001E334E"/>
    <w:rsid w:val="001E515E"/>
    <w:rsid w:val="001E5210"/>
    <w:rsid w:val="001E5856"/>
    <w:rsid w:val="001E5C60"/>
    <w:rsid w:val="001E6703"/>
    <w:rsid w:val="001E7832"/>
    <w:rsid w:val="001F1D3D"/>
    <w:rsid w:val="001F3315"/>
    <w:rsid w:val="001F407E"/>
    <w:rsid w:val="001F6645"/>
    <w:rsid w:val="0020331C"/>
    <w:rsid w:val="002120A5"/>
    <w:rsid w:val="00214FB5"/>
    <w:rsid w:val="00216AEE"/>
    <w:rsid w:val="00231414"/>
    <w:rsid w:val="00233624"/>
    <w:rsid w:val="00234525"/>
    <w:rsid w:val="00234B14"/>
    <w:rsid w:val="00235C26"/>
    <w:rsid w:val="0023672B"/>
    <w:rsid w:val="002437DF"/>
    <w:rsid w:val="00245DD6"/>
    <w:rsid w:val="00247C5A"/>
    <w:rsid w:val="00250BA9"/>
    <w:rsid w:val="00272062"/>
    <w:rsid w:val="002764CF"/>
    <w:rsid w:val="00276FDD"/>
    <w:rsid w:val="00283896"/>
    <w:rsid w:val="00283929"/>
    <w:rsid w:val="00284121"/>
    <w:rsid w:val="00291904"/>
    <w:rsid w:val="00296E8E"/>
    <w:rsid w:val="00297FD2"/>
    <w:rsid w:val="002A4367"/>
    <w:rsid w:val="002A5951"/>
    <w:rsid w:val="002B0424"/>
    <w:rsid w:val="002B04BE"/>
    <w:rsid w:val="002B0970"/>
    <w:rsid w:val="002B0E95"/>
    <w:rsid w:val="002B2C81"/>
    <w:rsid w:val="002B3C65"/>
    <w:rsid w:val="002B4632"/>
    <w:rsid w:val="002C07FD"/>
    <w:rsid w:val="002C260D"/>
    <w:rsid w:val="002C4C71"/>
    <w:rsid w:val="002C7C7C"/>
    <w:rsid w:val="002D7606"/>
    <w:rsid w:val="002E04DB"/>
    <w:rsid w:val="002E4993"/>
    <w:rsid w:val="002E762B"/>
    <w:rsid w:val="002F25DF"/>
    <w:rsid w:val="002F59EC"/>
    <w:rsid w:val="002F6D41"/>
    <w:rsid w:val="002F6DDB"/>
    <w:rsid w:val="00302D37"/>
    <w:rsid w:val="0030427D"/>
    <w:rsid w:val="00304C43"/>
    <w:rsid w:val="00307A8C"/>
    <w:rsid w:val="00323494"/>
    <w:rsid w:val="00325806"/>
    <w:rsid w:val="00330E8A"/>
    <w:rsid w:val="00355D79"/>
    <w:rsid w:val="003636D8"/>
    <w:rsid w:val="003639E4"/>
    <w:rsid w:val="0037248B"/>
    <w:rsid w:val="0037450F"/>
    <w:rsid w:val="00374746"/>
    <w:rsid w:val="00380609"/>
    <w:rsid w:val="00383C4F"/>
    <w:rsid w:val="00384641"/>
    <w:rsid w:val="00387F59"/>
    <w:rsid w:val="00390DC4"/>
    <w:rsid w:val="00393649"/>
    <w:rsid w:val="00397C4B"/>
    <w:rsid w:val="003A0DE5"/>
    <w:rsid w:val="003A1ADA"/>
    <w:rsid w:val="003A55B2"/>
    <w:rsid w:val="003B049D"/>
    <w:rsid w:val="003B2A2D"/>
    <w:rsid w:val="003B48C2"/>
    <w:rsid w:val="003B4D10"/>
    <w:rsid w:val="003C3796"/>
    <w:rsid w:val="003C74D2"/>
    <w:rsid w:val="003D70D3"/>
    <w:rsid w:val="003D76BD"/>
    <w:rsid w:val="003E09D3"/>
    <w:rsid w:val="003E15DE"/>
    <w:rsid w:val="003E1D71"/>
    <w:rsid w:val="003E6E29"/>
    <w:rsid w:val="003F0185"/>
    <w:rsid w:val="003F1AF6"/>
    <w:rsid w:val="003F3369"/>
    <w:rsid w:val="003F4DC2"/>
    <w:rsid w:val="00404160"/>
    <w:rsid w:val="00405FEA"/>
    <w:rsid w:val="00411116"/>
    <w:rsid w:val="00412C4A"/>
    <w:rsid w:val="004155A6"/>
    <w:rsid w:val="00422EE3"/>
    <w:rsid w:val="00424375"/>
    <w:rsid w:val="004252EF"/>
    <w:rsid w:val="0043121C"/>
    <w:rsid w:val="00432F75"/>
    <w:rsid w:val="00436F9E"/>
    <w:rsid w:val="004412DF"/>
    <w:rsid w:val="00443A70"/>
    <w:rsid w:val="00444366"/>
    <w:rsid w:val="00444A88"/>
    <w:rsid w:val="00445420"/>
    <w:rsid w:val="00450896"/>
    <w:rsid w:val="00452BD6"/>
    <w:rsid w:val="00455F0E"/>
    <w:rsid w:val="004563F9"/>
    <w:rsid w:val="004571A8"/>
    <w:rsid w:val="00460503"/>
    <w:rsid w:val="00461ED0"/>
    <w:rsid w:val="00462244"/>
    <w:rsid w:val="004754EC"/>
    <w:rsid w:val="00483639"/>
    <w:rsid w:val="004854F0"/>
    <w:rsid w:val="00487EC0"/>
    <w:rsid w:val="00490D95"/>
    <w:rsid w:val="004931AA"/>
    <w:rsid w:val="00495135"/>
    <w:rsid w:val="00496F8E"/>
    <w:rsid w:val="004A2247"/>
    <w:rsid w:val="004A5BAD"/>
    <w:rsid w:val="004A5BD5"/>
    <w:rsid w:val="004A69DF"/>
    <w:rsid w:val="004B0EB3"/>
    <w:rsid w:val="004B0F45"/>
    <w:rsid w:val="004B1D0B"/>
    <w:rsid w:val="004B30B0"/>
    <w:rsid w:val="004B402D"/>
    <w:rsid w:val="004B5683"/>
    <w:rsid w:val="004B7599"/>
    <w:rsid w:val="004C394E"/>
    <w:rsid w:val="004C55C3"/>
    <w:rsid w:val="004C6806"/>
    <w:rsid w:val="004C76F7"/>
    <w:rsid w:val="004C7F3F"/>
    <w:rsid w:val="004D1BA5"/>
    <w:rsid w:val="004D3BE3"/>
    <w:rsid w:val="004E02E6"/>
    <w:rsid w:val="004E3C16"/>
    <w:rsid w:val="004F3989"/>
    <w:rsid w:val="004F6213"/>
    <w:rsid w:val="004F69A9"/>
    <w:rsid w:val="00501219"/>
    <w:rsid w:val="005021E6"/>
    <w:rsid w:val="0050448F"/>
    <w:rsid w:val="00505023"/>
    <w:rsid w:val="005053F7"/>
    <w:rsid w:val="0051147D"/>
    <w:rsid w:val="00512610"/>
    <w:rsid w:val="00516F27"/>
    <w:rsid w:val="00517794"/>
    <w:rsid w:val="00527C6A"/>
    <w:rsid w:val="00532C45"/>
    <w:rsid w:val="00534108"/>
    <w:rsid w:val="0053420A"/>
    <w:rsid w:val="00545EE9"/>
    <w:rsid w:val="00553EA2"/>
    <w:rsid w:val="0055461F"/>
    <w:rsid w:val="0056074A"/>
    <w:rsid w:val="005703D3"/>
    <w:rsid w:val="00570B11"/>
    <w:rsid w:val="0057500C"/>
    <w:rsid w:val="00575812"/>
    <w:rsid w:val="00577D4E"/>
    <w:rsid w:val="00580A5F"/>
    <w:rsid w:val="00584382"/>
    <w:rsid w:val="00585247"/>
    <w:rsid w:val="00587320"/>
    <w:rsid w:val="00591F31"/>
    <w:rsid w:val="005A3CCC"/>
    <w:rsid w:val="005A7BC3"/>
    <w:rsid w:val="005B02DE"/>
    <w:rsid w:val="005B0728"/>
    <w:rsid w:val="005B0C3D"/>
    <w:rsid w:val="005B4363"/>
    <w:rsid w:val="005B56E0"/>
    <w:rsid w:val="005C081E"/>
    <w:rsid w:val="005C130A"/>
    <w:rsid w:val="005C293A"/>
    <w:rsid w:val="005C3901"/>
    <w:rsid w:val="005C44F1"/>
    <w:rsid w:val="005D0B70"/>
    <w:rsid w:val="005F450A"/>
    <w:rsid w:val="0060239B"/>
    <w:rsid w:val="0060423C"/>
    <w:rsid w:val="00607FF6"/>
    <w:rsid w:val="00613660"/>
    <w:rsid w:val="006139B3"/>
    <w:rsid w:val="006143B9"/>
    <w:rsid w:val="00615C22"/>
    <w:rsid w:val="00617BB5"/>
    <w:rsid w:val="00622151"/>
    <w:rsid w:val="0062230C"/>
    <w:rsid w:val="006243D5"/>
    <w:rsid w:val="00625EDA"/>
    <w:rsid w:val="00632AE1"/>
    <w:rsid w:val="006346F5"/>
    <w:rsid w:val="00635698"/>
    <w:rsid w:val="0063772F"/>
    <w:rsid w:val="00641401"/>
    <w:rsid w:val="00644AA6"/>
    <w:rsid w:val="00652CD7"/>
    <w:rsid w:val="006578BC"/>
    <w:rsid w:val="00660F74"/>
    <w:rsid w:val="0066168F"/>
    <w:rsid w:val="006647D8"/>
    <w:rsid w:val="006754CC"/>
    <w:rsid w:val="0067598C"/>
    <w:rsid w:val="00677556"/>
    <w:rsid w:val="00681DF9"/>
    <w:rsid w:val="00682C93"/>
    <w:rsid w:val="00682D61"/>
    <w:rsid w:val="00694A37"/>
    <w:rsid w:val="00694E33"/>
    <w:rsid w:val="006955D1"/>
    <w:rsid w:val="006959B2"/>
    <w:rsid w:val="00696DB4"/>
    <w:rsid w:val="00697341"/>
    <w:rsid w:val="006A3EA8"/>
    <w:rsid w:val="006A7627"/>
    <w:rsid w:val="006B56D0"/>
    <w:rsid w:val="006C0EF7"/>
    <w:rsid w:val="006C4C51"/>
    <w:rsid w:val="006C4C82"/>
    <w:rsid w:val="006E0CC2"/>
    <w:rsid w:val="006F1E38"/>
    <w:rsid w:val="006F5095"/>
    <w:rsid w:val="007016E9"/>
    <w:rsid w:val="00703826"/>
    <w:rsid w:val="00704DBD"/>
    <w:rsid w:val="00714088"/>
    <w:rsid w:val="0072016D"/>
    <w:rsid w:val="00720B6A"/>
    <w:rsid w:val="00724049"/>
    <w:rsid w:val="00725F22"/>
    <w:rsid w:val="00731DBA"/>
    <w:rsid w:val="007326E7"/>
    <w:rsid w:val="007350A5"/>
    <w:rsid w:val="00754FD7"/>
    <w:rsid w:val="00765801"/>
    <w:rsid w:val="0077247D"/>
    <w:rsid w:val="007740F0"/>
    <w:rsid w:val="007748A8"/>
    <w:rsid w:val="00786C8F"/>
    <w:rsid w:val="0078756B"/>
    <w:rsid w:val="00795F63"/>
    <w:rsid w:val="00797EC1"/>
    <w:rsid w:val="007A181E"/>
    <w:rsid w:val="007B1AAC"/>
    <w:rsid w:val="007B3508"/>
    <w:rsid w:val="007B6E11"/>
    <w:rsid w:val="007C047C"/>
    <w:rsid w:val="007C11D3"/>
    <w:rsid w:val="007C3F39"/>
    <w:rsid w:val="007D1431"/>
    <w:rsid w:val="007D2FBB"/>
    <w:rsid w:val="007D6584"/>
    <w:rsid w:val="007D7B89"/>
    <w:rsid w:val="007E1FD8"/>
    <w:rsid w:val="007E332B"/>
    <w:rsid w:val="007E3A13"/>
    <w:rsid w:val="007E7351"/>
    <w:rsid w:val="007E76BE"/>
    <w:rsid w:val="007F0F46"/>
    <w:rsid w:val="007F2088"/>
    <w:rsid w:val="007F3F16"/>
    <w:rsid w:val="007F7866"/>
    <w:rsid w:val="0080143C"/>
    <w:rsid w:val="00810969"/>
    <w:rsid w:val="00810E6B"/>
    <w:rsid w:val="008163A1"/>
    <w:rsid w:val="00816A47"/>
    <w:rsid w:val="00820537"/>
    <w:rsid w:val="00820E50"/>
    <w:rsid w:val="0082586D"/>
    <w:rsid w:val="00826A38"/>
    <w:rsid w:val="00826BD0"/>
    <w:rsid w:val="008369F2"/>
    <w:rsid w:val="00841258"/>
    <w:rsid w:val="008420E2"/>
    <w:rsid w:val="00843D87"/>
    <w:rsid w:val="00851CDD"/>
    <w:rsid w:val="008550AE"/>
    <w:rsid w:val="00856868"/>
    <w:rsid w:val="008568C0"/>
    <w:rsid w:val="00860E5E"/>
    <w:rsid w:val="00863E55"/>
    <w:rsid w:val="0086743F"/>
    <w:rsid w:val="00867943"/>
    <w:rsid w:val="00867AA6"/>
    <w:rsid w:val="00871322"/>
    <w:rsid w:val="00874241"/>
    <w:rsid w:val="0087617E"/>
    <w:rsid w:val="00877E7C"/>
    <w:rsid w:val="00881D1D"/>
    <w:rsid w:val="00887B0C"/>
    <w:rsid w:val="00890A93"/>
    <w:rsid w:val="00893AE9"/>
    <w:rsid w:val="00893D8F"/>
    <w:rsid w:val="008967EE"/>
    <w:rsid w:val="008A0CE3"/>
    <w:rsid w:val="008A26DF"/>
    <w:rsid w:val="008A46C1"/>
    <w:rsid w:val="008A4E4F"/>
    <w:rsid w:val="008A56EF"/>
    <w:rsid w:val="008A6CB6"/>
    <w:rsid w:val="008A7E78"/>
    <w:rsid w:val="008B3261"/>
    <w:rsid w:val="008B5B5E"/>
    <w:rsid w:val="008C49D5"/>
    <w:rsid w:val="008D7D8E"/>
    <w:rsid w:val="008E271D"/>
    <w:rsid w:val="008E4634"/>
    <w:rsid w:val="008E5C50"/>
    <w:rsid w:val="008E756F"/>
    <w:rsid w:val="008F0D5C"/>
    <w:rsid w:val="008F61B9"/>
    <w:rsid w:val="0090304B"/>
    <w:rsid w:val="00907B07"/>
    <w:rsid w:val="00912CA4"/>
    <w:rsid w:val="00912CE7"/>
    <w:rsid w:val="00914BD7"/>
    <w:rsid w:val="009170B9"/>
    <w:rsid w:val="00920B7F"/>
    <w:rsid w:val="009226F0"/>
    <w:rsid w:val="0092342D"/>
    <w:rsid w:val="00923820"/>
    <w:rsid w:val="00924B02"/>
    <w:rsid w:val="00925DCD"/>
    <w:rsid w:val="009269C7"/>
    <w:rsid w:val="009273BF"/>
    <w:rsid w:val="00927968"/>
    <w:rsid w:val="00930933"/>
    <w:rsid w:val="009327EB"/>
    <w:rsid w:val="00934E63"/>
    <w:rsid w:val="009379B8"/>
    <w:rsid w:val="009512FB"/>
    <w:rsid w:val="009519C9"/>
    <w:rsid w:val="009549A7"/>
    <w:rsid w:val="009572DC"/>
    <w:rsid w:val="00960C9F"/>
    <w:rsid w:val="00965906"/>
    <w:rsid w:val="00967050"/>
    <w:rsid w:val="00967A00"/>
    <w:rsid w:val="00981452"/>
    <w:rsid w:val="0098437E"/>
    <w:rsid w:val="00986359"/>
    <w:rsid w:val="009900E0"/>
    <w:rsid w:val="0099106D"/>
    <w:rsid w:val="00995AEF"/>
    <w:rsid w:val="00996460"/>
    <w:rsid w:val="009A0888"/>
    <w:rsid w:val="009A5C6A"/>
    <w:rsid w:val="009B45CC"/>
    <w:rsid w:val="009B757B"/>
    <w:rsid w:val="009C51A6"/>
    <w:rsid w:val="009D3594"/>
    <w:rsid w:val="009D7E88"/>
    <w:rsid w:val="009E2CA9"/>
    <w:rsid w:val="009E585D"/>
    <w:rsid w:val="009E5AD0"/>
    <w:rsid w:val="009E63B7"/>
    <w:rsid w:val="00A00234"/>
    <w:rsid w:val="00A01498"/>
    <w:rsid w:val="00A03F51"/>
    <w:rsid w:val="00A05032"/>
    <w:rsid w:val="00A07FDF"/>
    <w:rsid w:val="00A14157"/>
    <w:rsid w:val="00A2068A"/>
    <w:rsid w:val="00A31F12"/>
    <w:rsid w:val="00A333C9"/>
    <w:rsid w:val="00A340B2"/>
    <w:rsid w:val="00A40511"/>
    <w:rsid w:val="00A5259B"/>
    <w:rsid w:val="00A52B2B"/>
    <w:rsid w:val="00A61272"/>
    <w:rsid w:val="00A64E1A"/>
    <w:rsid w:val="00A65CBF"/>
    <w:rsid w:val="00A71844"/>
    <w:rsid w:val="00A733FE"/>
    <w:rsid w:val="00A878BA"/>
    <w:rsid w:val="00A905CB"/>
    <w:rsid w:val="00A9100C"/>
    <w:rsid w:val="00A92C7D"/>
    <w:rsid w:val="00AA1FF1"/>
    <w:rsid w:val="00AB1B8E"/>
    <w:rsid w:val="00AB32DB"/>
    <w:rsid w:val="00AB7C67"/>
    <w:rsid w:val="00AC1061"/>
    <w:rsid w:val="00AC3379"/>
    <w:rsid w:val="00AC52E4"/>
    <w:rsid w:val="00AC6054"/>
    <w:rsid w:val="00AC710B"/>
    <w:rsid w:val="00AD039F"/>
    <w:rsid w:val="00AD0FE3"/>
    <w:rsid w:val="00AD27A2"/>
    <w:rsid w:val="00AD2F33"/>
    <w:rsid w:val="00AD5B6E"/>
    <w:rsid w:val="00AE0408"/>
    <w:rsid w:val="00AE042A"/>
    <w:rsid w:val="00AE0902"/>
    <w:rsid w:val="00AE0FFD"/>
    <w:rsid w:val="00AE49CC"/>
    <w:rsid w:val="00AF1849"/>
    <w:rsid w:val="00AF286E"/>
    <w:rsid w:val="00AF4E11"/>
    <w:rsid w:val="00AF6327"/>
    <w:rsid w:val="00AF679A"/>
    <w:rsid w:val="00B0035A"/>
    <w:rsid w:val="00B01626"/>
    <w:rsid w:val="00B01CF9"/>
    <w:rsid w:val="00B02B1E"/>
    <w:rsid w:val="00B032F3"/>
    <w:rsid w:val="00B0595D"/>
    <w:rsid w:val="00B079B4"/>
    <w:rsid w:val="00B142C3"/>
    <w:rsid w:val="00B1624D"/>
    <w:rsid w:val="00B20564"/>
    <w:rsid w:val="00B20AB3"/>
    <w:rsid w:val="00B22416"/>
    <w:rsid w:val="00B25D4C"/>
    <w:rsid w:val="00B26D14"/>
    <w:rsid w:val="00B27E5B"/>
    <w:rsid w:val="00B3188B"/>
    <w:rsid w:val="00B46809"/>
    <w:rsid w:val="00B61067"/>
    <w:rsid w:val="00B62BF2"/>
    <w:rsid w:val="00B62D03"/>
    <w:rsid w:val="00B705A6"/>
    <w:rsid w:val="00B70709"/>
    <w:rsid w:val="00B7070F"/>
    <w:rsid w:val="00B71062"/>
    <w:rsid w:val="00B71812"/>
    <w:rsid w:val="00B7291C"/>
    <w:rsid w:val="00B7689D"/>
    <w:rsid w:val="00B81494"/>
    <w:rsid w:val="00B82517"/>
    <w:rsid w:val="00B84915"/>
    <w:rsid w:val="00B84C93"/>
    <w:rsid w:val="00B908CC"/>
    <w:rsid w:val="00BA2855"/>
    <w:rsid w:val="00BA3B21"/>
    <w:rsid w:val="00BB04F5"/>
    <w:rsid w:val="00BB3223"/>
    <w:rsid w:val="00BC458D"/>
    <w:rsid w:val="00BC7973"/>
    <w:rsid w:val="00BD5700"/>
    <w:rsid w:val="00BE2025"/>
    <w:rsid w:val="00BF29B5"/>
    <w:rsid w:val="00BF5481"/>
    <w:rsid w:val="00C0084B"/>
    <w:rsid w:val="00C11633"/>
    <w:rsid w:val="00C12726"/>
    <w:rsid w:val="00C1641D"/>
    <w:rsid w:val="00C167A3"/>
    <w:rsid w:val="00C27F00"/>
    <w:rsid w:val="00C30F55"/>
    <w:rsid w:val="00C31538"/>
    <w:rsid w:val="00C32C14"/>
    <w:rsid w:val="00C3308D"/>
    <w:rsid w:val="00C338DB"/>
    <w:rsid w:val="00C445EA"/>
    <w:rsid w:val="00C455EE"/>
    <w:rsid w:val="00C4727F"/>
    <w:rsid w:val="00C53661"/>
    <w:rsid w:val="00C62D49"/>
    <w:rsid w:val="00C76E4D"/>
    <w:rsid w:val="00C80354"/>
    <w:rsid w:val="00C8596D"/>
    <w:rsid w:val="00C86527"/>
    <w:rsid w:val="00C941CE"/>
    <w:rsid w:val="00CA04AE"/>
    <w:rsid w:val="00CA142E"/>
    <w:rsid w:val="00CA5A26"/>
    <w:rsid w:val="00CB262E"/>
    <w:rsid w:val="00CB58AF"/>
    <w:rsid w:val="00CC1730"/>
    <w:rsid w:val="00CC2A4E"/>
    <w:rsid w:val="00CC6E91"/>
    <w:rsid w:val="00CD10DF"/>
    <w:rsid w:val="00CE2BCC"/>
    <w:rsid w:val="00CE54C8"/>
    <w:rsid w:val="00CE6803"/>
    <w:rsid w:val="00CF107A"/>
    <w:rsid w:val="00CF115A"/>
    <w:rsid w:val="00D01733"/>
    <w:rsid w:val="00D01B4E"/>
    <w:rsid w:val="00D04C1E"/>
    <w:rsid w:val="00D05745"/>
    <w:rsid w:val="00D13882"/>
    <w:rsid w:val="00D2517C"/>
    <w:rsid w:val="00D25D95"/>
    <w:rsid w:val="00D3108D"/>
    <w:rsid w:val="00D3578F"/>
    <w:rsid w:val="00D3585B"/>
    <w:rsid w:val="00D4443F"/>
    <w:rsid w:val="00D5198D"/>
    <w:rsid w:val="00D52A0F"/>
    <w:rsid w:val="00D5304C"/>
    <w:rsid w:val="00D57C09"/>
    <w:rsid w:val="00D601D1"/>
    <w:rsid w:val="00D603A2"/>
    <w:rsid w:val="00D6317A"/>
    <w:rsid w:val="00D65D28"/>
    <w:rsid w:val="00D66D69"/>
    <w:rsid w:val="00D67B75"/>
    <w:rsid w:val="00D67BEB"/>
    <w:rsid w:val="00D716C2"/>
    <w:rsid w:val="00D72391"/>
    <w:rsid w:val="00D86615"/>
    <w:rsid w:val="00D91E5E"/>
    <w:rsid w:val="00DA2AB5"/>
    <w:rsid w:val="00DA71EC"/>
    <w:rsid w:val="00DB0F74"/>
    <w:rsid w:val="00DB1899"/>
    <w:rsid w:val="00DB7A32"/>
    <w:rsid w:val="00DC009C"/>
    <w:rsid w:val="00DC116F"/>
    <w:rsid w:val="00DC36FB"/>
    <w:rsid w:val="00DC3D08"/>
    <w:rsid w:val="00DD4131"/>
    <w:rsid w:val="00DD516F"/>
    <w:rsid w:val="00DD539E"/>
    <w:rsid w:val="00DD7B7F"/>
    <w:rsid w:val="00DE1B8C"/>
    <w:rsid w:val="00DE3DD2"/>
    <w:rsid w:val="00DE46DD"/>
    <w:rsid w:val="00DE77DC"/>
    <w:rsid w:val="00DF5736"/>
    <w:rsid w:val="00E014C1"/>
    <w:rsid w:val="00E04BBA"/>
    <w:rsid w:val="00E06A15"/>
    <w:rsid w:val="00E14C3A"/>
    <w:rsid w:val="00E244DE"/>
    <w:rsid w:val="00E25228"/>
    <w:rsid w:val="00E259A5"/>
    <w:rsid w:val="00E26805"/>
    <w:rsid w:val="00E43AA7"/>
    <w:rsid w:val="00E54F9F"/>
    <w:rsid w:val="00E654C2"/>
    <w:rsid w:val="00E70E61"/>
    <w:rsid w:val="00E7109C"/>
    <w:rsid w:val="00E736B0"/>
    <w:rsid w:val="00E7396B"/>
    <w:rsid w:val="00E82AA3"/>
    <w:rsid w:val="00E82FF1"/>
    <w:rsid w:val="00E9254D"/>
    <w:rsid w:val="00E9529E"/>
    <w:rsid w:val="00EA33FE"/>
    <w:rsid w:val="00EA6C39"/>
    <w:rsid w:val="00EB14DF"/>
    <w:rsid w:val="00EB199C"/>
    <w:rsid w:val="00EB3710"/>
    <w:rsid w:val="00EB45CE"/>
    <w:rsid w:val="00EB52AE"/>
    <w:rsid w:val="00EC06E0"/>
    <w:rsid w:val="00EC28DA"/>
    <w:rsid w:val="00EC3905"/>
    <w:rsid w:val="00EC3E44"/>
    <w:rsid w:val="00EC526A"/>
    <w:rsid w:val="00EC6C49"/>
    <w:rsid w:val="00ED13DA"/>
    <w:rsid w:val="00ED4B19"/>
    <w:rsid w:val="00EE2DAE"/>
    <w:rsid w:val="00EE4308"/>
    <w:rsid w:val="00EF084D"/>
    <w:rsid w:val="00EF1EB1"/>
    <w:rsid w:val="00EF44E7"/>
    <w:rsid w:val="00EF5BCD"/>
    <w:rsid w:val="00F001DC"/>
    <w:rsid w:val="00F02E3B"/>
    <w:rsid w:val="00F03A43"/>
    <w:rsid w:val="00F04268"/>
    <w:rsid w:val="00F06674"/>
    <w:rsid w:val="00F105E7"/>
    <w:rsid w:val="00F21DC8"/>
    <w:rsid w:val="00F246B1"/>
    <w:rsid w:val="00F24A9C"/>
    <w:rsid w:val="00F277A2"/>
    <w:rsid w:val="00F30B5E"/>
    <w:rsid w:val="00F30E29"/>
    <w:rsid w:val="00F3102F"/>
    <w:rsid w:val="00F320FD"/>
    <w:rsid w:val="00F371B5"/>
    <w:rsid w:val="00F37585"/>
    <w:rsid w:val="00F37D51"/>
    <w:rsid w:val="00F4369C"/>
    <w:rsid w:val="00F43B79"/>
    <w:rsid w:val="00F47D49"/>
    <w:rsid w:val="00F55243"/>
    <w:rsid w:val="00F55C09"/>
    <w:rsid w:val="00F60AD7"/>
    <w:rsid w:val="00F61604"/>
    <w:rsid w:val="00F61D35"/>
    <w:rsid w:val="00F65E85"/>
    <w:rsid w:val="00F663E4"/>
    <w:rsid w:val="00F702C0"/>
    <w:rsid w:val="00F73BF7"/>
    <w:rsid w:val="00F77FF4"/>
    <w:rsid w:val="00F82578"/>
    <w:rsid w:val="00F831E6"/>
    <w:rsid w:val="00F83F45"/>
    <w:rsid w:val="00F86875"/>
    <w:rsid w:val="00F90EE7"/>
    <w:rsid w:val="00F922A7"/>
    <w:rsid w:val="00F92F23"/>
    <w:rsid w:val="00F930DF"/>
    <w:rsid w:val="00FA0DFF"/>
    <w:rsid w:val="00FA4D39"/>
    <w:rsid w:val="00FA527F"/>
    <w:rsid w:val="00FA586E"/>
    <w:rsid w:val="00FA58C4"/>
    <w:rsid w:val="00FA5966"/>
    <w:rsid w:val="00FA5EE2"/>
    <w:rsid w:val="00FA79CC"/>
    <w:rsid w:val="00FB1071"/>
    <w:rsid w:val="00FB354D"/>
    <w:rsid w:val="00FB3DD4"/>
    <w:rsid w:val="00FB5707"/>
    <w:rsid w:val="00FB7B68"/>
    <w:rsid w:val="00FC00C2"/>
    <w:rsid w:val="00FC143A"/>
    <w:rsid w:val="00FC3921"/>
    <w:rsid w:val="00FC4DEF"/>
    <w:rsid w:val="00FD4F00"/>
    <w:rsid w:val="00FD764A"/>
    <w:rsid w:val="00FE28B7"/>
    <w:rsid w:val="00FE5897"/>
    <w:rsid w:val="00FF0D91"/>
    <w:rsid w:val="00FF3B73"/>
    <w:rsid w:val="00FF6F9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7086</Words>
  <Characters>4040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32</cp:revision>
  <cp:lastPrinted>2024-12-20T06:41:00Z</cp:lastPrinted>
  <dcterms:created xsi:type="dcterms:W3CDTF">2024-12-12T09:00:00Z</dcterms:created>
  <dcterms:modified xsi:type="dcterms:W3CDTF">2024-12-20T06:41:00Z</dcterms:modified>
</cp:coreProperties>
</file>