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EA" w:rsidRPr="006265EA" w:rsidRDefault="006265EA" w:rsidP="006265EA">
      <w:pPr>
        <w:tabs>
          <w:tab w:val="center" w:pos="4728"/>
          <w:tab w:val="left" w:pos="7056"/>
        </w:tabs>
        <w:suppressAutoHyphens/>
        <w:spacing w:after="0" w:line="240" w:lineRule="auto"/>
        <w:jc w:val="center"/>
        <w:rPr>
          <w:rFonts w:eastAsia="Calibri" w:cs="Times New Roman"/>
          <w:b/>
          <w:bCs/>
          <w:szCs w:val="24"/>
          <w:lang w:eastAsia="ar-SA"/>
        </w:rPr>
      </w:pPr>
      <w:r w:rsidRPr="006265EA">
        <w:rPr>
          <w:rFonts w:eastAsia="Calibri" w:cs="Times New Roman"/>
          <w:b/>
          <w:bCs/>
          <w:szCs w:val="24"/>
          <w:lang w:eastAsia="ar-SA"/>
        </w:rPr>
        <w:t>LĪGUMS Nr.___</w:t>
      </w:r>
    </w:p>
    <w:p w:rsidR="006265EA" w:rsidRPr="006265EA" w:rsidRDefault="006265EA" w:rsidP="006265EA">
      <w:pPr>
        <w:suppressAutoHyphens/>
        <w:spacing w:after="0" w:line="240" w:lineRule="auto"/>
        <w:jc w:val="center"/>
        <w:rPr>
          <w:rFonts w:eastAsia="Calibri" w:cs="Times New Roman"/>
          <w:b/>
          <w:bCs/>
          <w:szCs w:val="24"/>
          <w:lang w:eastAsia="ar-SA"/>
        </w:rPr>
      </w:pPr>
      <w:r w:rsidRPr="006265EA">
        <w:rPr>
          <w:rFonts w:eastAsia="Calibri" w:cs="Times New Roman"/>
          <w:b/>
          <w:bCs/>
          <w:szCs w:val="24"/>
          <w:lang w:eastAsia="ar-SA"/>
        </w:rPr>
        <w:t xml:space="preserve">par ēdināšanas pakalpojumu sniegšanu Jelgavas pilsētas </w:t>
      </w:r>
      <w:r w:rsidR="00BB4528">
        <w:rPr>
          <w:rFonts w:eastAsia="Calibri" w:cs="Times New Roman"/>
          <w:b/>
          <w:bCs/>
          <w:szCs w:val="24"/>
          <w:lang w:eastAsia="ar-SA"/>
        </w:rPr>
        <w:t>pašvaldības iestādē ”Jelgavas bērnu sociālās aprūpes centrs</w:t>
      </w:r>
      <w:r w:rsidRPr="006265EA">
        <w:rPr>
          <w:rFonts w:eastAsia="Calibri" w:cs="Times New Roman"/>
          <w:b/>
          <w:bCs/>
          <w:szCs w:val="24"/>
          <w:lang w:eastAsia="ar-SA"/>
        </w:rPr>
        <w:t>”</w:t>
      </w:r>
    </w:p>
    <w:p w:rsidR="006265EA" w:rsidRPr="006265EA" w:rsidRDefault="006265EA" w:rsidP="006265EA">
      <w:pPr>
        <w:suppressAutoHyphens/>
        <w:spacing w:after="0" w:line="240" w:lineRule="auto"/>
        <w:rPr>
          <w:rFonts w:eastAsia="Calibri" w:cs="Times New Roman"/>
          <w:b/>
          <w:bCs/>
          <w:szCs w:val="24"/>
          <w:lang w:eastAsia="ar-SA"/>
        </w:rPr>
      </w:pPr>
    </w:p>
    <w:p w:rsidR="006265EA" w:rsidRPr="006265EA" w:rsidRDefault="006265EA" w:rsidP="006265EA">
      <w:pPr>
        <w:keepNext/>
        <w:spacing w:after="0" w:line="240" w:lineRule="auto"/>
        <w:outlineLvl w:val="0"/>
        <w:rPr>
          <w:rFonts w:eastAsia="Calibri" w:cs="Times New Roman"/>
          <w:szCs w:val="24"/>
          <w:lang w:eastAsia="zh-CN"/>
        </w:rPr>
      </w:pPr>
      <w:r w:rsidRPr="006265EA">
        <w:rPr>
          <w:rFonts w:eastAsia="Calibri" w:cs="Times New Roman"/>
          <w:szCs w:val="24"/>
          <w:lang w:eastAsia="zh-CN"/>
        </w:rPr>
        <w:t>Jelgavā</w:t>
      </w:r>
      <w:r w:rsidRPr="006265EA">
        <w:rPr>
          <w:rFonts w:eastAsia="Calibri" w:cs="Times New Roman"/>
          <w:szCs w:val="24"/>
          <w:lang w:eastAsia="zh-CN"/>
        </w:rPr>
        <w:tab/>
      </w:r>
      <w:r w:rsidRPr="006265EA">
        <w:rPr>
          <w:rFonts w:eastAsia="Calibri" w:cs="Times New Roman"/>
          <w:szCs w:val="24"/>
          <w:lang w:eastAsia="zh-CN"/>
        </w:rPr>
        <w:tab/>
      </w:r>
      <w:r w:rsidRPr="006265EA">
        <w:rPr>
          <w:rFonts w:eastAsia="Calibri" w:cs="Times New Roman"/>
          <w:szCs w:val="24"/>
          <w:lang w:eastAsia="zh-CN"/>
        </w:rPr>
        <w:tab/>
      </w:r>
      <w:r w:rsidRPr="006265EA">
        <w:rPr>
          <w:rFonts w:eastAsia="Calibri" w:cs="Times New Roman"/>
          <w:szCs w:val="24"/>
          <w:lang w:eastAsia="zh-CN"/>
        </w:rPr>
        <w:tab/>
      </w:r>
      <w:r w:rsidRPr="006265EA">
        <w:rPr>
          <w:rFonts w:eastAsia="Calibri" w:cs="Times New Roman"/>
          <w:szCs w:val="24"/>
          <w:lang w:eastAsia="zh-CN"/>
        </w:rPr>
        <w:tab/>
      </w:r>
      <w:r w:rsidRPr="006265EA">
        <w:rPr>
          <w:rFonts w:eastAsia="Calibri" w:cs="Times New Roman"/>
          <w:szCs w:val="24"/>
          <w:lang w:eastAsia="zh-CN"/>
        </w:rPr>
        <w:tab/>
      </w:r>
      <w:r>
        <w:rPr>
          <w:rFonts w:eastAsia="Calibri" w:cs="Times New Roman"/>
          <w:szCs w:val="24"/>
          <w:lang w:eastAsia="zh-CN"/>
        </w:rPr>
        <w:tab/>
      </w:r>
      <w:r>
        <w:rPr>
          <w:rFonts w:eastAsia="Calibri" w:cs="Times New Roman"/>
          <w:szCs w:val="24"/>
          <w:lang w:eastAsia="zh-CN"/>
        </w:rPr>
        <w:tab/>
      </w:r>
      <w:r w:rsidRPr="006265EA">
        <w:rPr>
          <w:rFonts w:eastAsia="Calibri" w:cs="Times New Roman"/>
          <w:szCs w:val="24"/>
          <w:lang w:eastAsia="zh-CN"/>
        </w:rPr>
        <w:t>2015</w:t>
      </w:r>
      <w:r w:rsidR="00BB4528">
        <w:rPr>
          <w:rFonts w:eastAsia="Calibri" w:cs="Times New Roman"/>
          <w:szCs w:val="24"/>
          <w:lang w:eastAsia="zh-CN"/>
        </w:rPr>
        <w:t>.gada 27.febru</w:t>
      </w:r>
      <w:r>
        <w:rPr>
          <w:rFonts w:eastAsia="Calibri" w:cs="Times New Roman"/>
          <w:szCs w:val="24"/>
          <w:lang w:eastAsia="zh-CN"/>
        </w:rPr>
        <w:t>ārī</w:t>
      </w:r>
    </w:p>
    <w:p w:rsidR="00BB4528" w:rsidRDefault="00BB4528" w:rsidP="006265EA">
      <w:pPr>
        <w:suppressAutoHyphens/>
        <w:spacing w:before="120" w:after="0" w:line="240" w:lineRule="auto"/>
        <w:jc w:val="both"/>
        <w:rPr>
          <w:rFonts w:eastAsia="Calibri" w:cs="Times New Roman"/>
          <w:b/>
          <w:bCs/>
          <w:szCs w:val="24"/>
          <w:lang w:eastAsia="ar-SA"/>
        </w:rPr>
      </w:pPr>
    </w:p>
    <w:p w:rsidR="00BB4528" w:rsidRPr="00BB4528" w:rsidRDefault="00BB4528" w:rsidP="00BB4528">
      <w:pPr>
        <w:suppressAutoHyphens/>
        <w:spacing w:before="120" w:after="0" w:line="240" w:lineRule="auto"/>
        <w:jc w:val="both"/>
        <w:rPr>
          <w:rFonts w:eastAsia="Calibri" w:cs="Times New Roman"/>
          <w:bCs/>
          <w:szCs w:val="24"/>
          <w:lang w:eastAsia="ar-SA"/>
        </w:rPr>
      </w:pPr>
      <w:r w:rsidRPr="00BB4528">
        <w:rPr>
          <w:rFonts w:eastAsia="Calibri" w:cs="Times New Roman"/>
          <w:b/>
          <w:bCs/>
          <w:szCs w:val="24"/>
          <w:lang w:eastAsia="ar-SA"/>
        </w:rPr>
        <w:t>Jelgavas pilsētas pašvaldības iestāde „Jelgavas bērnu sociālās aprūpes centrs”</w:t>
      </w:r>
      <w:r w:rsidRPr="00BB4528">
        <w:rPr>
          <w:rFonts w:eastAsia="Calibri" w:cs="Times New Roman"/>
          <w:bCs/>
          <w:szCs w:val="24"/>
          <w:lang w:eastAsia="ar-SA"/>
        </w:rPr>
        <w:t>, reģistrācijas numurs 90000418861, juridiskā adrese: Zirgu iela 47a, Jelgava, LV-3001, direktores Maijas Neilandes personā, kura rīkojas saskaņā ar Jelgavas</w:t>
      </w:r>
      <w:r>
        <w:rPr>
          <w:rFonts w:eastAsia="Calibri" w:cs="Times New Roman"/>
          <w:bCs/>
          <w:szCs w:val="24"/>
          <w:lang w:eastAsia="ar-SA"/>
        </w:rPr>
        <w:t xml:space="preserve"> pilsētas pašvaldības iestādes ”</w:t>
      </w:r>
      <w:r w:rsidRPr="00BB4528">
        <w:rPr>
          <w:rFonts w:eastAsia="Calibri" w:cs="Times New Roman"/>
          <w:bCs/>
          <w:szCs w:val="24"/>
          <w:lang w:eastAsia="ar-SA"/>
        </w:rPr>
        <w:t>Jelgavas bērnu sociālās aprūpes centrs” nolikumu (turpmāk</w:t>
      </w:r>
      <w:proofErr w:type="gramStart"/>
      <w:r w:rsidRPr="00BB4528">
        <w:rPr>
          <w:rFonts w:eastAsia="Calibri" w:cs="Times New Roman"/>
          <w:bCs/>
          <w:szCs w:val="24"/>
          <w:lang w:eastAsia="ar-SA"/>
        </w:rPr>
        <w:t xml:space="preserve">  </w:t>
      </w:r>
      <w:proofErr w:type="gramEnd"/>
      <w:r w:rsidRPr="00BB4528">
        <w:rPr>
          <w:rFonts w:eastAsia="Calibri" w:cs="Times New Roman"/>
          <w:bCs/>
          <w:szCs w:val="24"/>
          <w:lang w:eastAsia="ar-SA"/>
        </w:rPr>
        <w:t xml:space="preserve">- Pasūtītājs), no vienas puses, </w:t>
      </w:r>
    </w:p>
    <w:p w:rsidR="006265EA" w:rsidRPr="006265EA" w:rsidRDefault="00827838" w:rsidP="006265EA">
      <w:pPr>
        <w:suppressAutoHyphens/>
        <w:spacing w:before="120" w:after="0" w:line="240" w:lineRule="auto"/>
        <w:jc w:val="both"/>
        <w:rPr>
          <w:rFonts w:eastAsia="Calibri" w:cs="Times New Roman"/>
          <w:color w:val="000000"/>
          <w:szCs w:val="24"/>
          <w:lang w:eastAsia="ar-SA"/>
        </w:rPr>
      </w:pPr>
      <w:r w:rsidRPr="00382FAF">
        <w:rPr>
          <w:rFonts w:eastAsia="Calibri" w:cs="Times New Roman"/>
          <w:b/>
          <w:bCs/>
          <w:color w:val="000000"/>
          <w:szCs w:val="24"/>
          <w:lang w:eastAsia="ar-SA"/>
        </w:rPr>
        <w:t>SIA</w:t>
      </w:r>
      <w:r w:rsidR="00BB4528" w:rsidRPr="00382FAF">
        <w:rPr>
          <w:rFonts w:eastAsia="Calibri" w:cs="Times New Roman"/>
          <w:b/>
          <w:bCs/>
          <w:color w:val="000000"/>
          <w:szCs w:val="24"/>
          <w:lang w:eastAsia="ar-SA"/>
        </w:rPr>
        <w:t xml:space="preserve"> ”</w:t>
      </w:r>
      <w:proofErr w:type="spellStart"/>
      <w:r w:rsidR="00BB4528" w:rsidRPr="00382FAF">
        <w:rPr>
          <w:rFonts w:eastAsia="Calibri" w:cs="Times New Roman"/>
          <w:b/>
          <w:bCs/>
          <w:color w:val="000000"/>
          <w:szCs w:val="24"/>
          <w:lang w:eastAsia="ar-SA"/>
        </w:rPr>
        <w:t>Fama</w:t>
      </w:r>
      <w:proofErr w:type="spellEnd"/>
      <w:r w:rsidR="006265EA" w:rsidRPr="00382FAF">
        <w:rPr>
          <w:rFonts w:eastAsia="Calibri" w:cs="Times New Roman"/>
          <w:b/>
          <w:bCs/>
          <w:color w:val="000000"/>
          <w:szCs w:val="24"/>
          <w:lang w:eastAsia="ar-SA"/>
        </w:rPr>
        <w:t>”</w:t>
      </w:r>
      <w:r w:rsidR="001A560C" w:rsidRPr="00382FAF">
        <w:rPr>
          <w:rFonts w:eastAsia="Calibri" w:cs="Times New Roman"/>
          <w:color w:val="000000"/>
          <w:szCs w:val="24"/>
          <w:lang w:eastAsia="ar-SA"/>
        </w:rPr>
        <w:t>, reģistrācijas numurs</w:t>
      </w:r>
      <w:r w:rsidR="006265EA" w:rsidRPr="00382FAF">
        <w:t xml:space="preserve"> </w:t>
      </w:r>
      <w:r w:rsidR="001A560C" w:rsidRPr="00382FAF">
        <w:rPr>
          <w:rFonts w:eastAsia="Calibri" w:cs="Times New Roman"/>
          <w:color w:val="000000"/>
          <w:szCs w:val="24"/>
          <w:lang w:eastAsia="ar-SA"/>
        </w:rPr>
        <w:t>43602010846</w:t>
      </w:r>
      <w:r w:rsidR="006265EA" w:rsidRPr="00382FAF">
        <w:rPr>
          <w:rFonts w:eastAsia="Calibri" w:cs="Times New Roman"/>
          <w:color w:val="000000"/>
          <w:szCs w:val="24"/>
          <w:lang w:eastAsia="ar-SA"/>
        </w:rPr>
        <w:t xml:space="preserve">, juridiskā adrese </w:t>
      </w:r>
      <w:r w:rsidR="001A560C" w:rsidRPr="00382FAF">
        <w:rPr>
          <w:rFonts w:eastAsia="Calibri" w:cs="Times New Roman"/>
          <w:color w:val="000000"/>
          <w:szCs w:val="24"/>
          <w:lang w:eastAsia="ar-SA"/>
        </w:rPr>
        <w:t>”</w:t>
      </w:r>
      <w:proofErr w:type="spellStart"/>
      <w:r w:rsidR="001A560C" w:rsidRPr="00382FAF">
        <w:rPr>
          <w:rFonts w:eastAsia="Calibri" w:cs="Times New Roman"/>
          <w:color w:val="000000"/>
          <w:szCs w:val="24"/>
          <w:lang w:eastAsia="ar-SA"/>
        </w:rPr>
        <w:t>Kuzma</w:t>
      </w:r>
      <w:proofErr w:type="spellEnd"/>
      <w:r w:rsidR="001A560C" w:rsidRPr="00382FAF">
        <w:rPr>
          <w:rFonts w:eastAsia="Calibri" w:cs="Times New Roman"/>
          <w:color w:val="000000"/>
          <w:szCs w:val="24"/>
          <w:lang w:eastAsia="ar-SA"/>
        </w:rPr>
        <w:t xml:space="preserve"> Brakšķi”</w:t>
      </w:r>
      <w:r w:rsidR="006265EA" w:rsidRPr="00382FAF">
        <w:rPr>
          <w:rFonts w:eastAsia="Calibri" w:cs="Times New Roman"/>
          <w:color w:val="000000"/>
          <w:szCs w:val="24"/>
          <w:lang w:eastAsia="ar-SA"/>
        </w:rPr>
        <w:t>,</w:t>
      </w:r>
      <w:r w:rsidR="001A560C" w:rsidRPr="00382FAF">
        <w:rPr>
          <w:rFonts w:eastAsia="Calibri" w:cs="Times New Roman"/>
          <w:color w:val="000000"/>
          <w:szCs w:val="24"/>
          <w:lang w:eastAsia="ar-SA"/>
        </w:rPr>
        <w:t xml:space="preserve"> Līvbērzes pag., Jelgavas novads, LV-3014</w:t>
      </w:r>
      <w:r w:rsidR="00110BF3" w:rsidRPr="00382FAF">
        <w:rPr>
          <w:rFonts w:eastAsia="Calibri" w:cs="Times New Roman"/>
          <w:color w:val="000000"/>
          <w:szCs w:val="24"/>
          <w:lang w:eastAsia="ar-SA"/>
        </w:rPr>
        <w:t xml:space="preserve">, </w:t>
      </w:r>
      <w:r w:rsidR="001A560C" w:rsidRPr="00382FAF">
        <w:rPr>
          <w:rFonts w:eastAsia="Calibri" w:cs="Times New Roman"/>
          <w:color w:val="000000"/>
          <w:szCs w:val="24"/>
          <w:lang w:eastAsia="ar-SA"/>
        </w:rPr>
        <w:t>kuras vārdā</w:t>
      </w:r>
      <w:r w:rsidR="002455FC" w:rsidRPr="00382FAF">
        <w:rPr>
          <w:rFonts w:eastAsia="Calibri" w:cs="Times New Roman"/>
          <w:color w:val="000000"/>
          <w:szCs w:val="24"/>
          <w:lang w:eastAsia="ar-SA"/>
        </w:rPr>
        <w:t xml:space="preserve"> saskaņā ar Statūtiem</w:t>
      </w:r>
      <w:r w:rsidR="001A560C" w:rsidRPr="00382FAF">
        <w:rPr>
          <w:rFonts w:eastAsia="Calibri" w:cs="Times New Roman"/>
          <w:color w:val="000000"/>
          <w:szCs w:val="24"/>
          <w:lang w:eastAsia="ar-SA"/>
        </w:rPr>
        <w:t xml:space="preserve"> rīkojas</w:t>
      </w:r>
      <w:r w:rsidR="00732034" w:rsidRPr="00382FAF">
        <w:rPr>
          <w:rFonts w:eastAsia="Calibri" w:cs="Times New Roman"/>
          <w:color w:val="000000"/>
          <w:szCs w:val="24"/>
          <w:lang w:eastAsia="ar-SA"/>
        </w:rPr>
        <w:t xml:space="preserve"> </w:t>
      </w:r>
      <w:r w:rsidR="00110BF3" w:rsidRPr="00382FAF">
        <w:rPr>
          <w:rFonts w:eastAsia="Calibri" w:cs="Times New Roman"/>
          <w:color w:val="000000"/>
          <w:szCs w:val="24"/>
          <w:lang w:eastAsia="ar-SA"/>
        </w:rPr>
        <w:t>valdes l</w:t>
      </w:r>
      <w:r w:rsidR="001A560C" w:rsidRPr="00382FAF">
        <w:rPr>
          <w:rFonts w:eastAsia="Calibri" w:cs="Times New Roman"/>
          <w:color w:val="000000"/>
          <w:szCs w:val="24"/>
          <w:lang w:eastAsia="ar-SA"/>
        </w:rPr>
        <w:t>ocekl</w:t>
      </w:r>
      <w:r w:rsidR="00382FAF" w:rsidRPr="00382FAF">
        <w:rPr>
          <w:rFonts w:eastAsia="Calibri" w:cs="Times New Roman"/>
          <w:color w:val="000000"/>
          <w:szCs w:val="24"/>
          <w:lang w:eastAsia="ar-SA"/>
        </w:rPr>
        <w:t>e</w:t>
      </w:r>
      <w:r w:rsidR="00110BF3" w:rsidRPr="00382FAF">
        <w:rPr>
          <w:rFonts w:eastAsia="Calibri" w:cs="Times New Roman"/>
          <w:color w:val="000000"/>
          <w:szCs w:val="24"/>
          <w:lang w:eastAsia="ar-SA"/>
        </w:rPr>
        <w:t xml:space="preserve"> </w:t>
      </w:r>
      <w:r w:rsidR="00382FAF">
        <w:rPr>
          <w:rFonts w:eastAsia="Calibri" w:cs="Times New Roman"/>
          <w:color w:val="000000"/>
          <w:szCs w:val="24"/>
          <w:lang w:eastAsia="ar-SA"/>
        </w:rPr>
        <w:t>Dina Upeniece</w:t>
      </w:r>
      <w:r w:rsidR="00732034">
        <w:rPr>
          <w:rFonts w:eastAsia="Calibri" w:cs="Times New Roman"/>
          <w:color w:val="000000"/>
          <w:szCs w:val="24"/>
          <w:lang w:eastAsia="ar-SA"/>
        </w:rPr>
        <w:t xml:space="preserve"> </w:t>
      </w:r>
      <w:r w:rsidR="00E2190E">
        <w:rPr>
          <w:rFonts w:eastAsia="Calibri" w:cs="Times New Roman"/>
          <w:color w:val="000000"/>
          <w:szCs w:val="24"/>
          <w:lang w:eastAsia="ar-SA"/>
        </w:rPr>
        <w:t>(turpmāk</w:t>
      </w:r>
      <w:r w:rsidR="006265EA" w:rsidRPr="006265EA">
        <w:rPr>
          <w:rFonts w:eastAsia="Calibri" w:cs="Times New Roman"/>
          <w:color w:val="000000"/>
          <w:szCs w:val="24"/>
          <w:lang w:eastAsia="ar-SA"/>
        </w:rPr>
        <w:t xml:space="preserve"> - Izpildītājs)</w:t>
      </w:r>
      <w:r w:rsidR="00110BF3">
        <w:rPr>
          <w:rFonts w:eastAsia="Calibri" w:cs="Times New Roman"/>
          <w:color w:val="000000"/>
          <w:szCs w:val="24"/>
          <w:lang w:eastAsia="ar-SA"/>
        </w:rPr>
        <w:t>,</w:t>
      </w:r>
      <w:r w:rsidR="006265EA" w:rsidRPr="006265EA">
        <w:rPr>
          <w:rFonts w:eastAsia="Calibri" w:cs="Times New Roman"/>
          <w:color w:val="000000"/>
          <w:szCs w:val="24"/>
          <w:lang w:eastAsia="ar-SA"/>
        </w:rPr>
        <w:t xml:space="preserve"> no otras puses (turpmāk atsevišķi/kopā sauktas Puse/Puses),</w:t>
      </w:r>
    </w:p>
    <w:p w:rsidR="006265EA" w:rsidRPr="006265EA" w:rsidRDefault="006265EA" w:rsidP="006265EA">
      <w:pPr>
        <w:suppressAutoHyphens/>
        <w:spacing w:before="120"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 xml:space="preserve">pamatojoties uz iepirkuma „Ēdināšanas pakalpojumu sniegšana Jelgavas pilsētas pašvaldības </w:t>
      </w:r>
      <w:r w:rsidR="001263D5">
        <w:rPr>
          <w:rFonts w:eastAsia="Calibri" w:cs="Times New Roman"/>
          <w:color w:val="000000"/>
          <w:szCs w:val="24"/>
          <w:lang w:eastAsia="ar-SA"/>
        </w:rPr>
        <w:t>iestādē ”Jelgavas bērnu sociālās aprūpes centrs</w:t>
      </w:r>
      <w:r w:rsidRPr="006265EA">
        <w:rPr>
          <w:rFonts w:eastAsia="Calibri" w:cs="Times New Roman"/>
          <w:color w:val="000000"/>
          <w:szCs w:val="24"/>
          <w:lang w:eastAsia="ar-SA"/>
        </w:rPr>
        <w:t xml:space="preserve">””, identifikācijas numurs </w:t>
      </w:r>
      <w:r w:rsidR="001263D5">
        <w:rPr>
          <w:rFonts w:eastAsia="Calibri" w:cs="Times New Roman"/>
          <w:color w:val="000000"/>
          <w:szCs w:val="24"/>
          <w:lang w:eastAsia="ar-SA"/>
        </w:rPr>
        <w:t>JPD2015/15</w:t>
      </w:r>
      <w:r w:rsidR="00732034">
        <w:rPr>
          <w:rFonts w:eastAsia="Calibri" w:cs="Times New Roman"/>
          <w:color w:val="000000"/>
          <w:szCs w:val="24"/>
          <w:lang w:eastAsia="ar-SA"/>
        </w:rPr>
        <w:t>/MI</w:t>
      </w:r>
      <w:r w:rsidRPr="006265EA">
        <w:rPr>
          <w:rFonts w:eastAsia="Calibri" w:cs="Times New Roman"/>
          <w:color w:val="000000"/>
          <w:szCs w:val="24"/>
          <w:lang w:eastAsia="ar-SA"/>
        </w:rPr>
        <w:t xml:space="preserve"> (turpmāk - iepirkums) rezultātiem, noslēdz šo līgumu (turpmāk – līgums) par sekojošo:</w:t>
      </w:r>
    </w:p>
    <w:p w:rsidR="006265EA" w:rsidRPr="006265EA" w:rsidRDefault="006265EA" w:rsidP="006265EA">
      <w:pPr>
        <w:numPr>
          <w:ilvl w:val="0"/>
          <w:numId w:val="2"/>
        </w:numPr>
        <w:suppressAutoHyphens/>
        <w:spacing w:before="120" w:after="0" w:line="240" w:lineRule="auto"/>
        <w:ind w:left="714" w:hanging="357"/>
        <w:jc w:val="center"/>
        <w:rPr>
          <w:rFonts w:eastAsia="Calibri" w:cs="Times New Roman"/>
          <w:b/>
          <w:bCs/>
          <w:szCs w:val="24"/>
          <w:lang w:eastAsia="ar-SA"/>
        </w:rPr>
      </w:pPr>
      <w:r w:rsidRPr="006265EA">
        <w:rPr>
          <w:rFonts w:eastAsia="Calibri" w:cs="Times New Roman"/>
          <w:b/>
          <w:bCs/>
          <w:szCs w:val="24"/>
          <w:lang w:eastAsia="ar-SA"/>
        </w:rPr>
        <w:t>Līguma priekšmets</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Pasūtītājs uzdod</w:t>
      </w:r>
      <w:r w:rsidR="00E2190E">
        <w:rPr>
          <w:rFonts w:eastAsia="Calibri" w:cs="Times New Roman"/>
          <w:szCs w:val="24"/>
          <w:lang w:eastAsia="ar-SA"/>
        </w:rPr>
        <w:t>,</w:t>
      </w:r>
      <w:r w:rsidRPr="006265EA">
        <w:rPr>
          <w:rFonts w:eastAsia="Calibri" w:cs="Times New Roman"/>
          <w:szCs w:val="24"/>
          <w:lang w:eastAsia="ar-SA"/>
        </w:rPr>
        <w:t xml:space="preserve"> un Izpildītājs apņemas sniegt ēdi</w:t>
      </w:r>
      <w:r w:rsidR="000F4194">
        <w:rPr>
          <w:rFonts w:eastAsia="Calibri" w:cs="Times New Roman"/>
          <w:szCs w:val="24"/>
          <w:lang w:eastAsia="ar-SA"/>
        </w:rPr>
        <w:t>nāšanas pakalpojumu saskaņā ar T</w:t>
      </w:r>
      <w:r w:rsidRPr="006265EA">
        <w:rPr>
          <w:rFonts w:eastAsia="Calibri" w:cs="Times New Roman"/>
          <w:szCs w:val="24"/>
          <w:lang w:eastAsia="ar-SA"/>
        </w:rPr>
        <w:t>ehnisk</w:t>
      </w:r>
      <w:r w:rsidR="000F4194">
        <w:rPr>
          <w:rFonts w:eastAsia="Calibri" w:cs="Times New Roman"/>
          <w:szCs w:val="24"/>
          <w:lang w:eastAsia="ar-SA"/>
        </w:rPr>
        <w:t>o specifikāciju (1.pielikums), T</w:t>
      </w:r>
      <w:r w:rsidRPr="006265EA">
        <w:rPr>
          <w:rFonts w:eastAsia="Calibri" w:cs="Times New Roman"/>
          <w:szCs w:val="24"/>
          <w:lang w:eastAsia="ar-SA"/>
        </w:rPr>
        <w:t>ehnisko piedāvājumu (2.pielikums) un līguma nosacījumiem (turpmāk - Pakalpojums).</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Pakalpojuma apjoms mainās, ņemot vērā bērnu skaita izmaiņas.</w:t>
      </w:r>
    </w:p>
    <w:p w:rsidR="006265EA" w:rsidRPr="00382FAF"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382FAF">
        <w:rPr>
          <w:rFonts w:eastAsia="Calibri" w:cs="Times New Roman"/>
          <w:szCs w:val="24"/>
          <w:lang w:eastAsia="ar-SA"/>
        </w:rPr>
        <w:t>Pasūtītājs saņem</w:t>
      </w:r>
      <w:r w:rsidR="00E2190E" w:rsidRPr="00382FAF">
        <w:rPr>
          <w:rFonts w:eastAsia="Calibri" w:cs="Times New Roman"/>
          <w:szCs w:val="24"/>
          <w:lang w:eastAsia="ar-SA"/>
        </w:rPr>
        <w:t>,</w:t>
      </w:r>
      <w:r w:rsidRPr="00382FAF">
        <w:rPr>
          <w:rFonts w:eastAsia="Calibri" w:cs="Times New Roman"/>
          <w:szCs w:val="24"/>
          <w:lang w:eastAsia="ar-SA"/>
        </w:rPr>
        <w:t xml:space="preserve"> un Izpildītājs sniedz Pakalpojumu, atbilstoši bērnu skaitam, kas norādīts pieteikumā, ko Pasūtītāja pilnvarota persona iesniedz Izpildītājam </w:t>
      </w:r>
      <w:r w:rsidR="00382FAF" w:rsidRPr="00382FAF">
        <w:rPr>
          <w:rFonts w:eastAsia="Calibri" w:cs="Times New Roman"/>
          <w:szCs w:val="24"/>
          <w:lang w:eastAsia="ar-SA"/>
        </w:rPr>
        <w:t>līdz iepriekšējās dienas plkst. 18:0</w:t>
      </w:r>
      <w:r w:rsidRPr="00382FAF">
        <w:rPr>
          <w:rFonts w:eastAsia="Calibri" w:cs="Times New Roman"/>
          <w:szCs w:val="24"/>
          <w:lang w:eastAsia="ar-SA"/>
        </w:rPr>
        <w:t>0.</w:t>
      </w: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Līguma termiņš</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Līgums stājās spēkā ar tā parakstīšanas brīdi un ir spēkā līdz tajā noteikto Pušu saistību pilnīgai izpildei.</w:t>
      </w:r>
    </w:p>
    <w:p w:rsid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Līguma darbības termiņš n</w:t>
      </w:r>
      <w:r w:rsidR="00732034">
        <w:rPr>
          <w:rFonts w:eastAsia="Calibri" w:cs="Times New Roman"/>
          <w:szCs w:val="24"/>
          <w:lang w:eastAsia="ar-SA"/>
        </w:rPr>
        <w:t xml:space="preserve">o 2015.gada </w:t>
      </w:r>
      <w:r w:rsidR="002455FC">
        <w:rPr>
          <w:rFonts w:eastAsia="Calibri" w:cs="Times New Roman"/>
          <w:szCs w:val="24"/>
          <w:lang w:eastAsia="ar-SA"/>
        </w:rPr>
        <w:t>1.marta līdz 2015</w:t>
      </w:r>
      <w:r w:rsidRPr="006265EA">
        <w:rPr>
          <w:rFonts w:eastAsia="Calibri" w:cs="Times New Roman"/>
          <w:szCs w:val="24"/>
          <w:lang w:eastAsia="ar-SA"/>
        </w:rPr>
        <w:t xml:space="preserve">.gada </w:t>
      </w:r>
      <w:r w:rsidR="002455FC">
        <w:rPr>
          <w:rFonts w:eastAsia="Calibri" w:cs="Times New Roman"/>
          <w:szCs w:val="24"/>
          <w:lang w:eastAsia="ar-SA"/>
        </w:rPr>
        <w:t>16.augustam</w:t>
      </w:r>
      <w:r w:rsidRPr="006265EA">
        <w:rPr>
          <w:rFonts w:eastAsia="Calibri" w:cs="Times New Roman"/>
          <w:szCs w:val="24"/>
          <w:lang w:eastAsia="ar-SA"/>
        </w:rPr>
        <w:t xml:space="preserve">. </w:t>
      </w:r>
    </w:p>
    <w:p w:rsidR="003E5BB6" w:rsidRPr="006265EA" w:rsidRDefault="003E5BB6" w:rsidP="003E5BB6">
      <w:pPr>
        <w:suppressAutoHyphens/>
        <w:spacing w:before="120" w:after="0" w:line="240" w:lineRule="auto"/>
        <w:ind w:left="540"/>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Līgumcena un samaksas kārtība</w:t>
      </w:r>
    </w:p>
    <w:p w:rsidR="002455FC" w:rsidRPr="002455FC" w:rsidRDefault="006265EA" w:rsidP="002455FC">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 xml:space="preserve">Līgumcena </w:t>
      </w:r>
      <w:r w:rsidR="00F91986">
        <w:rPr>
          <w:rFonts w:eastAsia="Calibri" w:cs="Times New Roman"/>
          <w:szCs w:val="24"/>
          <w:lang w:eastAsia="ar-SA"/>
        </w:rPr>
        <w:t xml:space="preserve">1 (viena) </w:t>
      </w:r>
      <w:r w:rsidRPr="006265EA">
        <w:rPr>
          <w:rFonts w:eastAsia="Calibri" w:cs="Times New Roman"/>
          <w:szCs w:val="24"/>
          <w:lang w:eastAsia="ar-SA"/>
        </w:rPr>
        <w:t>bērna ēdināšanai (brokastis, pusdienas, launags) 1 (vienā) dienā ir</w:t>
      </w:r>
      <w:r w:rsidR="002455FC">
        <w:rPr>
          <w:rFonts w:eastAsia="Calibri" w:cs="Times New Roman"/>
          <w:szCs w:val="24"/>
          <w:lang w:eastAsia="ar-SA"/>
        </w:rPr>
        <w:t xml:space="preserve"> </w:t>
      </w:r>
      <w:r w:rsidR="002455FC" w:rsidRPr="002455FC">
        <w:rPr>
          <w:rFonts w:eastAsia="Calibri" w:cs="Times New Roman"/>
          <w:b/>
          <w:szCs w:val="24"/>
          <w:lang w:eastAsia="ar-SA"/>
        </w:rPr>
        <w:t>3,89</w:t>
      </w:r>
      <w:r w:rsidR="002455FC">
        <w:rPr>
          <w:rFonts w:eastAsia="Calibri" w:cs="Times New Roman"/>
          <w:szCs w:val="24"/>
          <w:lang w:eastAsia="ar-SA"/>
        </w:rPr>
        <w:t xml:space="preserve"> </w:t>
      </w:r>
      <w:proofErr w:type="spellStart"/>
      <w:r w:rsidR="002455FC" w:rsidRPr="002455FC">
        <w:rPr>
          <w:rFonts w:eastAsia="Calibri" w:cs="Times New Roman"/>
          <w:b/>
          <w:i/>
          <w:szCs w:val="24"/>
          <w:lang w:eastAsia="ar-SA"/>
        </w:rPr>
        <w:t>euro</w:t>
      </w:r>
      <w:proofErr w:type="spellEnd"/>
      <w:r w:rsidR="002455FC" w:rsidRPr="002455FC">
        <w:rPr>
          <w:rFonts w:eastAsia="Calibri" w:cs="Times New Roman"/>
          <w:szCs w:val="24"/>
          <w:lang w:eastAsia="ar-SA"/>
        </w:rPr>
        <w:t xml:space="preserve"> bez pievienotā vērtības nodokļa (turpmāk – PVN). PVN tiek aprēķināts atbilstoši normatīvajiem aktiem.</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 xml:space="preserve">Līgumcena Līguma darbības termiņam, saskaņā ar līguma 2.2.punktu, ir līdz </w:t>
      </w:r>
      <w:r w:rsidR="002455FC">
        <w:rPr>
          <w:rFonts w:eastAsia="Calibri" w:cs="Times New Roman"/>
          <w:b/>
          <w:szCs w:val="24"/>
          <w:lang w:eastAsia="ar-SA"/>
        </w:rPr>
        <w:t>41999,</w:t>
      </w:r>
      <w:r w:rsidR="00E2190E">
        <w:rPr>
          <w:rFonts w:eastAsia="Calibri" w:cs="Times New Roman"/>
          <w:b/>
          <w:szCs w:val="24"/>
          <w:lang w:eastAsia="ar-SA"/>
        </w:rPr>
        <w:t>00</w:t>
      </w:r>
      <w:r w:rsidRPr="006265EA">
        <w:rPr>
          <w:rFonts w:eastAsia="Calibri" w:cs="Times New Roman"/>
          <w:b/>
          <w:szCs w:val="24"/>
          <w:lang w:eastAsia="ar-SA"/>
        </w:rPr>
        <w:t xml:space="preserve"> </w:t>
      </w:r>
      <w:proofErr w:type="spellStart"/>
      <w:r w:rsidRPr="006265EA">
        <w:rPr>
          <w:rFonts w:eastAsia="Calibri" w:cs="Times New Roman"/>
          <w:b/>
          <w:i/>
          <w:szCs w:val="24"/>
          <w:lang w:eastAsia="ar-SA"/>
        </w:rPr>
        <w:t>euro</w:t>
      </w:r>
      <w:proofErr w:type="spellEnd"/>
      <w:r w:rsidR="00E2190E">
        <w:rPr>
          <w:rFonts w:eastAsia="Calibri" w:cs="Times New Roman"/>
          <w:szCs w:val="24"/>
          <w:lang w:eastAsia="ar-SA"/>
        </w:rPr>
        <w:t xml:space="preserve"> bez PVN.</w:t>
      </w:r>
      <w:r w:rsidRPr="006265EA">
        <w:rPr>
          <w:rFonts w:eastAsia="Calibri" w:cs="Times New Roman"/>
          <w:szCs w:val="24"/>
          <w:lang w:eastAsia="ar-SA"/>
        </w:rPr>
        <w:t xml:space="preserve"> </w:t>
      </w:r>
      <w:r w:rsidR="00E2190E" w:rsidRPr="006265EA">
        <w:rPr>
          <w:rFonts w:eastAsia="Calibri" w:cs="Times New Roman"/>
          <w:szCs w:val="24"/>
          <w:lang w:eastAsia="ar-SA"/>
        </w:rPr>
        <w:t>PVN tiek aprēķināts atbilstoši normatīvajiem aktiem.</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b/>
          <w:bCs/>
          <w:szCs w:val="24"/>
          <w:lang w:eastAsia="ar-SA"/>
        </w:rPr>
      </w:pPr>
      <w:r w:rsidRPr="006265EA">
        <w:rPr>
          <w:rFonts w:eastAsia="Calibri" w:cs="Times New Roman"/>
          <w:szCs w:val="24"/>
          <w:lang w:eastAsia="ar-SA"/>
        </w:rPr>
        <w:t>Līguma 3.1.punktā norādītā cena ir nemainīga Pasūtītāja izstrādātajām ēdien</w:t>
      </w:r>
      <w:r w:rsidR="002455FC">
        <w:rPr>
          <w:rFonts w:eastAsia="Calibri" w:cs="Times New Roman"/>
          <w:szCs w:val="24"/>
          <w:lang w:eastAsia="ar-SA"/>
        </w:rPr>
        <w:t xml:space="preserve">kartēm, to neietekmē arī bērnu </w:t>
      </w:r>
      <w:r w:rsidRPr="006265EA">
        <w:rPr>
          <w:rFonts w:eastAsia="Calibri" w:cs="Times New Roman"/>
          <w:szCs w:val="24"/>
          <w:lang w:eastAsia="ar-SA"/>
        </w:rPr>
        <w:t>skaita izmaiņas.</w:t>
      </w:r>
    </w:p>
    <w:p w:rsid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szCs w:val="24"/>
          <w:lang w:eastAsia="ar-SA"/>
        </w:rPr>
      </w:pPr>
      <w:r w:rsidRPr="006265EA">
        <w:rPr>
          <w:rFonts w:eastAsia="Calibri" w:cs="Times New Roman"/>
          <w:szCs w:val="24"/>
          <w:lang w:eastAsia="ar-SA"/>
        </w:rPr>
        <w:t>Samazinoties Pakalpojuma apjomam, proporcionāli samazinās arī līguma 3.2.punktā noteiktā līgumcena.</w:t>
      </w:r>
    </w:p>
    <w:p w:rsidR="00566711" w:rsidRPr="00566711" w:rsidRDefault="00566711" w:rsidP="00F44DF6">
      <w:pPr>
        <w:pStyle w:val="ListParagraph"/>
        <w:numPr>
          <w:ilvl w:val="1"/>
          <w:numId w:val="1"/>
        </w:numPr>
        <w:spacing w:after="0" w:line="240" w:lineRule="auto"/>
        <w:jc w:val="both"/>
        <w:rPr>
          <w:rFonts w:eastAsia="Calibri" w:cs="Times New Roman"/>
          <w:szCs w:val="24"/>
          <w:lang w:eastAsia="ar-SA"/>
        </w:rPr>
      </w:pPr>
      <w:r w:rsidRPr="00566711">
        <w:rPr>
          <w:rFonts w:eastAsia="Calibri" w:cs="Times New Roman"/>
          <w:szCs w:val="24"/>
          <w:lang w:eastAsia="ar-SA"/>
        </w:rPr>
        <w:lastRenderedPageBreak/>
        <w:t>Katra mēneša pēdējā darba dienā Izpildītājs sastāda Pieņemšanas – nodošanas aktu par faktiskiem ēdināšanas pakalpojuma izdevumiem katrai dienai, uzrādot bērnu skaitu katrā ēdināšanas reizē (brokastis, pusdienas, launags, vakariņas) un tās cenu. Akts kļūst par pamatu norēķinam ēdināšanas izdevumiem attiecīgajā mēnesī.</w:t>
      </w:r>
    </w:p>
    <w:p w:rsidR="00566711" w:rsidRDefault="00566711" w:rsidP="00992565">
      <w:pPr>
        <w:pStyle w:val="ListParagraph"/>
        <w:numPr>
          <w:ilvl w:val="1"/>
          <w:numId w:val="1"/>
        </w:numPr>
        <w:spacing w:after="0" w:line="240" w:lineRule="auto"/>
        <w:jc w:val="both"/>
        <w:rPr>
          <w:rFonts w:eastAsia="Calibri" w:cs="Times New Roman"/>
          <w:szCs w:val="24"/>
          <w:lang w:eastAsia="ar-SA"/>
        </w:rPr>
      </w:pPr>
      <w:r w:rsidRPr="00566711">
        <w:rPr>
          <w:rFonts w:eastAsia="Calibri" w:cs="Times New Roman"/>
          <w:szCs w:val="24"/>
          <w:lang w:eastAsia="ar-SA"/>
        </w:rPr>
        <w:t>Mēneša līgumcenu Pasūtītājs apmaksā 10 (desmit) dienu laikā pēc ēdināšanas Pakalpojuma pieņemšanas – nodošanas akta abpusējas parakstīšanas, pārskaitot naudu Izpildītāja norādītajā kontā.</w:t>
      </w:r>
    </w:p>
    <w:p w:rsidR="003E5BB6" w:rsidRPr="00F44DF6" w:rsidRDefault="003E5BB6" w:rsidP="003E5BB6">
      <w:pPr>
        <w:pStyle w:val="ListParagraph"/>
        <w:spacing w:after="0" w:line="240" w:lineRule="auto"/>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Izpildītāja pienākumi un tiesības</w:t>
      </w:r>
    </w:p>
    <w:p w:rsidR="006265EA" w:rsidRPr="006265EA" w:rsidRDefault="006265EA" w:rsidP="006265EA">
      <w:pPr>
        <w:numPr>
          <w:ilvl w:val="1"/>
          <w:numId w:val="1"/>
        </w:numPr>
        <w:tabs>
          <w:tab w:val="num" w:pos="540"/>
        </w:tabs>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Izpildītāja pienākums ir:</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 xml:space="preserve">sniegt Pakalpojumu saskaņā ar Iepirkuma nolikuma un tā pielikumu prasībām, ņemot vērā Iepirkuma </w:t>
      </w:r>
      <w:r w:rsidR="002507A0">
        <w:rPr>
          <w:rFonts w:eastAsia="Calibri" w:cs="Times New Roman"/>
          <w:color w:val="000000"/>
          <w:szCs w:val="24"/>
          <w:lang w:eastAsia="ar-SA"/>
        </w:rPr>
        <w:t>instrukcijas</w:t>
      </w:r>
      <w:r w:rsidRPr="006265EA">
        <w:rPr>
          <w:rFonts w:eastAsia="Calibri" w:cs="Times New Roman"/>
          <w:color w:val="000000"/>
          <w:szCs w:val="24"/>
          <w:lang w:eastAsia="ar-SA"/>
        </w:rPr>
        <w:t xml:space="preserve"> 1.pielikuma – tehniskās specifikācijas prasības, Izpildītāja piedāvājumu Iepirkumā, šī līguma noteikumiem, kā arī Pasūtītāja darbību reglamentējošiem normatīvajiem aktiem;</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 xml:space="preserve">organizēt bērnu ēdināšanu saskaņā ar Iepirkuma </w:t>
      </w:r>
      <w:r w:rsidR="002507A0">
        <w:rPr>
          <w:rFonts w:eastAsia="Calibri" w:cs="Times New Roman"/>
          <w:color w:val="000000"/>
          <w:szCs w:val="24"/>
          <w:lang w:eastAsia="ar-SA"/>
        </w:rPr>
        <w:t>instrukcijas</w:t>
      </w:r>
      <w:r w:rsidRPr="006265EA">
        <w:rPr>
          <w:rFonts w:eastAsia="Calibri" w:cs="Times New Roman"/>
          <w:color w:val="000000"/>
          <w:szCs w:val="24"/>
          <w:lang w:eastAsia="ar-SA"/>
        </w:rPr>
        <w:t xml:space="preserve"> </w:t>
      </w:r>
      <w:r w:rsidR="002455FC">
        <w:rPr>
          <w:rFonts w:eastAsia="Calibri" w:cs="Times New Roman"/>
          <w:color w:val="000000"/>
          <w:szCs w:val="24"/>
          <w:lang w:eastAsia="ar-SA"/>
        </w:rPr>
        <w:t>3</w:t>
      </w:r>
      <w:r w:rsidRPr="006265EA">
        <w:rPr>
          <w:rFonts w:eastAsia="Calibri" w:cs="Times New Roman"/>
          <w:color w:val="000000"/>
          <w:szCs w:val="24"/>
          <w:lang w:eastAsia="ar-SA"/>
        </w:rPr>
        <w:t>.pielikumā iekļautajām ēdienkartēm, nodrošinot norādīto ēdienu enerģētisko vērtību un uzturvērtību un ievērojot normatīvajos aktos noteiktās prasības un veselīga uztura principus;</w:t>
      </w:r>
    </w:p>
    <w:p w:rsidR="00844B58" w:rsidRDefault="006265EA" w:rsidP="006265EA">
      <w:pPr>
        <w:numPr>
          <w:ilvl w:val="2"/>
          <w:numId w:val="1"/>
        </w:numPr>
        <w:suppressAutoHyphens/>
        <w:spacing w:after="0" w:line="240" w:lineRule="auto"/>
        <w:jc w:val="both"/>
        <w:rPr>
          <w:rFonts w:eastAsia="Calibri" w:cs="Times New Roman"/>
          <w:color w:val="000000"/>
          <w:szCs w:val="24"/>
          <w:lang w:eastAsia="ar-SA"/>
        </w:rPr>
      </w:pPr>
      <w:r w:rsidRPr="00844B58">
        <w:rPr>
          <w:rFonts w:eastAsia="Calibri" w:cs="Times New Roman"/>
          <w:color w:val="000000"/>
          <w:szCs w:val="24"/>
          <w:lang w:eastAsia="ar-SA"/>
        </w:rPr>
        <w:t xml:space="preserve">pēc Pasūtītāja pieprasījuma ēdienkartē norādīto ēdienu un/vai produktu aizstāt ar līdzīgu, saglabājot Iepirkuma </w:t>
      </w:r>
      <w:r w:rsidR="002507A0" w:rsidRPr="00844B58">
        <w:rPr>
          <w:rFonts w:eastAsia="Calibri" w:cs="Times New Roman"/>
          <w:color w:val="000000"/>
          <w:szCs w:val="24"/>
          <w:lang w:eastAsia="ar-SA"/>
        </w:rPr>
        <w:t>instrukcijas</w:t>
      </w:r>
      <w:r w:rsidRPr="00844B58">
        <w:rPr>
          <w:rFonts w:eastAsia="Calibri" w:cs="Times New Roman"/>
          <w:color w:val="000000"/>
          <w:szCs w:val="24"/>
          <w:lang w:eastAsia="ar-SA"/>
        </w:rPr>
        <w:t xml:space="preserve"> </w:t>
      </w:r>
      <w:r w:rsidR="002507A0" w:rsidRPr="00844B58">
        <w:rPr>
          <w:rFonts w:eastAsia="Calibri" w:cs="Times New Roman"/>
          <w:color w:val="000000"/>
          <w:szCs w:val="24"/>
          <w:lang w:eastAsia="ar-SA"/>
        </w:rPr>
        <w:t>3</w:t>
      </w:r>
      <w:r w:rsidRPr="00844B58">
        <w:rPr>
          <w:rFonts w:eastAsia="Calibri" w:cs="Times New Roman"/>
          <w:color w:val="000000"/>
          <w:szCs w:val="24"/>
          <w:lang w:eastAsia="ar-SA"/>
        </w:rPr>
        <w:t>.pielikumā norādītās enerģēt</w:t>
      </w:r>
      <w:r w:rsidR="00844B58" w:rsidRPr="00844B58">
        <w:rPr>
          <w:rFonts w:eastAsia="Calibri" w:cs="Times New Roman"/>
          <w:color w:val="000000"/>
          <w:szCs w:val="24"/>
          <w:lang w:eastAsia="ar-SA"/>
        </w:rPr>
        <w:t>iskās vērtības un uzturvērtības;</w:t>
      </w:r>
      <w:r w:rsidRPr="00844B58">
        <w:rPr>
          <w:rFonts w:eastAsia="Calibri" w:cs="Times New Roman"/>
          <w:color w:val="000000"/>
          <w:szCs w:val="24"/>
          <w:lang w:eastAsia="ar-SA"/>
        </w:rPr>
        <w:t xml:space="preserve"> </w:t>
      </w:r>
    </w:p>
    <w:p w:rsidR="006265EA" w:rsidRPr="00844B58" w:rsidRDefault="006265EA" w:rsidP="006265EA">
      <w:pPr>
        <w:numPr>
          <w:ilvl w:val="2"/>
          <w:numId w:val="1"/>
        </w:numPr>
        <w:suppressAutoHyphens/>
        <w:spacing w:after="0" w:line="240" w:lineRule="auto"/>
        <w:jc w:val="both"/>
        <w:rPr>
          <w:rFonts w:eastAsia="Calibri" w:cs="Times New Roman"/>
          <w:color w:val="000000"/>
          <w:szCs w:val="24"/>
          <w:lang w:eastAsia="ar-SA"/>
        </w:rPr>
      </w:pPr>
      <w:r w:rsidRPr="00844B58">
        <w:rPr>
          <w:rFonts w:eastAsia="Calibri" w:cs="Times New Roman"/>
          <w:color w:val="000000"/>
          <w:szCs w:val="24"/>
          <w:lang w:eastAsia="ar-SA"/>
        </w:rPr>
        <w:t xml:space="preserve">ne vēlāk kā 5 darba dienas iepriekš Izpildītājs ar Pasūtītāja noteikto personu saskaņo nākamās nedēļas ēdienkarti, pēc saskaņošanas Pasūtītāja apstiprinātā ēdienkarte tiek izvietota </w:t>
      </w:r>
      <w:r w:rsidR="00A0320E">
        <w:rPr>
          <w:rFonts w:eastAsia="Calibri" w:cs="Times New Roman"/>
          <w:color w:val="000000"/>
          <w:szCs w:val="24"/>
          <w:lang w:eastAsia="ar-SA"/>
        </w:rPr>
        <w:t>redzamā</w:t>
      </w:r>
      <w:r w:rsidRPr="00844B58">
        <w:rPr>
          <w:rFonts w:eastAsia="Calibri" w:cs="Times New Roman"/>
          <w:color w:val="000000"/>
          <w:szCs w:val="24"/>
          <w:lang w:eastAsia="ar-SA"/>
        </w:rPr>
        <w:t xml:space="preserve"> vietā;</w:t>
      </w:r>
    </w:p>
    <w:p w:rsidR="006265EA" w:rsidRPr="006265EA" w:rsidRDefault="002507A0" w:rsidP="006265EA">
      <w:pPr>
        <w:numPr>
          <w:ilvl w:val="2"/>
          <w:numId w:val="1"/>
        </w:numPr>
        <w:suppressAutoHyphens/>
        <w:spacing w:after="0" w:line="240" w:lineRule="auto"/>
        <w:jc w:val="both"/>
        <w:rPr>
          <w:rFonts w:eastAsia="Calibri" w:cs="Times New Roman"/>
          <w:color w:val="000000"/>
          <w:szCs w:val="24"/>
          <w:lang w:eastAsia="ar-SA"/>
        </w:rPr>
      </w:pPr>
      <w:r>
        <w:rPr>
          <w:rFonts w:eastAsia="Calibri" w:cs="Times New Roman"/>
          <w:color w:val="000000"/>
          <w:szCs w:val="24"/>
          <w:lang w:eastAsia="ar-SA"/>
        </w:rPr>
        <w:t>piegādāt</w:t>
      </w:r>
      <w:r w:rsidR="00A0320E" w:rsidRPr="00A0320E">
        <w:rPr>
          <w:rFonts w:eastAsia="Calibri" w:cs="Times New Roman"/>
          <w:color w:val="000000"/>
          <w:szCs w:val="24"/>
          <w:lang w:eastAsia="ar-SA"/>
        </w:rPr>
        <w:t xml:space="preserve"> ēdienu</w:t>
      </w:r>
      <w:r w:rsidR="00844B58">
        <w:rPr>
          <w:rFonts w:eastAsia="Calibri" w:cs="Times New Roman"/>
          <w:color w:val="000000"/>
          <w:szCs w:val="24"/>
          <w:lang w:eastAsia="ar-SA"/>
        </w:rPr>
        <w:t xml:space="preserve"> Pasūtītājam</w:t>
      </w:r>
      <w:r>
        <w:rPr>
          <w:rFonts w:eastAsia="Calibri" w:cs="Times New Roman"/>
          <w:color w:val="000000"/>
          <w:szCs w:val="24"/>
          <w:lang w:eastAsia="ar-SA"/>
        </w:rPr>
        <w:t xml:space="preserve"> atbilstoši</w:t>
      </w:r>
      <w:r w:rsidRPr="002507A0">
        <w:rPr>
          <w:rFonts w:eastAsia="Calibri" w:cs="Times New Roman"/>
          <w:color w:val="000000"/>
          <w:szCs w:val="24"/>
          <w:lang w:eastAsia="ar-SA"/>
        </w:rPr>
        <w:t xml:space="preserve"> Iepirkuma instrukcijas 3.pielikumā</w:t>
      </w:r>
      <w:r>
        <w:rPr>
          <w:rFonts w:eastAsia="Calibri" w:cs="Times New Roman"/>
          <w:color w:val="000000"/>
          <w:szCs w:val="24"/>
          <w:lang w:eastAsia="ar-SA"/>
        </w:rPr>
        <w:t xml:space="preserve"> norādītajiem ēdienreižu laikiem</w:t>
      </w:r>
      <w:r w:rsidR="006265EA" w:rsidRPr="006265EA">
        <w:rPr>
          <w:rFonts w:eastAsia="Calibri" w:cs="Times New Roman"/>
          <w:color w:val="000000"/>
          <w:szCs w:val="24"/>
          <w:lang w:eastAsia="ar-SA"/>
        </w:rPr>
        <w:t xml:space="preserve">; </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 xml:space="preserve">pēc Pasūtītāja pieprasījuma nodrošina atbilstošu ēdināšanu gadījumos, kad </w:t>
      </w:r>
      <w:r w:rsidR="00DC11EA">
        <w:rPr>
          <w:rFonts w:eastAsia="Calibri" w:cs="Times New Roman"/>
          <w:color w:val="000000"/>
          <w:szCs w:val="24"/>
          <w:lang w:eastAsia="ar-SA"/>
        </w:rPr>
        <w:t>bērnam</w:t>
      </w:r>
      <w:r w:rsidRPr="006265EA">
        <w:rPr>
          <w:rFonts w:eastAsia="Calibri" w:cs="Times New Roman"/>
          <w:color w:val="000000"/>
          <w:szCs w:val="24"/>
          <w:lang w:eastAsia="ar-SA"/>
        </w:rPr>
        <w:t xml:space="preserve"> ir ārsta apstiprināta diagnoze (piemēram, celiakija, cukura diabēts, pārtikas alerģija), kuras dēļ ir nepieciešama uztura korekcija;</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 xml:space="preserve">pēc Pasūtītāja pieprasījuma veic aptaujas un citus pasākumus saistībā ar pakalpojumu kvalitātes izvērtējumu, kā arī </w:t>
      </w:r>
      <w:r w:rsidR="00DC11EA">
        <w:rPr>
          <w:rFonts w:eastAsia="Calibri" w:cs="Times New Roman"/>
          <w:color w:val="000000"/>
          <w:szCs w:val="24"/>
          <w:lang w:eastAsia="ar-SA"/>
        </w:rPr>
        <w:t>īsteno sadarbību ar Pasūtītāju</w:t>
      </w:r>
      <w:r w:rsidRPr="006265EA">
        <w:rPr>
          <w:rFonts w:eastAsia="Calibri" w:cs="Times New Roman"/>
          <w:color w:val="000000"/>
          <w:szCs w:val="24"/>
          <w:lang w:eastAsia="ar-SA"/>
        </w:rPr>
        <w:t>, lai uzlabotu pakalpojuma kvalitāti;</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ēdienkaršu sagatavošanā dod priekšroku svaigiem un sezonāliem pārtikas produktiem, ņemot vērā augļu un dārzeņu pieejamībai tirgū atbilstoši Zemkopības ministrijas izstrādātajam vietējo augļu un dārzeņu pieejamības kalendāram, kas publicēts Iepirkumu uzraudzības biroja mājaslapā internetā;</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ēdienu gatavošanā neizmanto pusfabrikātus un sasaldētu gaļu;</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ēdiena gatavošanai izmanto pārtikas produktus, kas atbilst bioloģiskās lauksaimniecības, nacionālās pārtikas kvalitātes shēmas vai lauksaimniecības produktu integrētās audzēšanas prasībām;</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ēdiena gatavošanai izmanto pārtikas produktus, kas nesatur ģenētiski modificētos organismus, nesastāv no tiem un nav ražoti no tiem;</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ēdienkartē izmanto produktus, kuri nesatur sintētiskās krāsvielas;</w:t>
      </w:r>
    </w:p>
    <w:p w:rsidR="006265EA" w:rsidRPr="006265EA" w:rsidRDefault="006265EA" w:rsidP="006265EA">
      <w:pPr>
        <w:numPr>
          <w:ilvl w:val="2"/>
          <w:numId w:val="1"/>
        </w:numPr>
        <w:suppressAutoHyphens/>
        <w:spacing w:after="0" w:line="240" w:lineRule="auto"/>
        <w:jc w:val="both"/>
        <w:rPr>
          <w:rFonts w:eastAsia="Calibri" w:cs="Times New Roman"/>
          <w:bCs/>
          <w:color w:val="000000"/>
          <w:szCs w:val="24"/>
          <w:lang w:eastAsia="ar-SA"/>
        </w:rPr>
      </w:pPr>
      <w:r w:rsidRPr="006265EA">
        <w:rPr>
          <w:rFonts w:eastAsia="Calibri" w:cs="Times New Roman"/>
          <w:color w:val="000000"/>
          <w:szCs w:val="24"/>
          <w:lang w:eastAsia="ar-SA"/>
        </w:rPr>
        <w:t>sniegt Pasūtītājam ar Pasūtījuma izpildi saistītos dokumentus un informāciju ne vēlāk kā trīs darba dienu laikā pēc Pasūtītāja pieprasījuma;</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nekavējoties paziņot Pasūtītājiem par šķēršļiem, kuri var ietekmēt šī līguma nosacījumu un Pakalpojuma izpildi;</w:t>
      </w:r>
    </w:p>
    <w:p w:rsidR="006265EA" w:rsidRP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lastRenderedPageBreak/>
        <w:t>nepieļaut nepiederošu personu uzturēšanos telpās, kuras saistītas ar Pakalpojuma izpildi;</w:t>
      </w:r>
    </w:p>
    <w:p w:rsidR="006265EA" w:rsidRDefault="006265EA" w:rsidP="006265EA">
      <w:pPr>
        <w:numPr>
          <w:ilvl w:val="2"/>
          <w:numId w:val="1"/>
        </w:numPr>
        <w:suppressAutoHyphens/>
        <w:spacing w:after="0" w:line="240" w:lineRule="auto"/>
        <w:jc w:val="both"/>
        <w:rPr>
          <w:rFonts w:eastAsia="Calibri" w:cs="Times New Roman"/>
          <w:color w:val="000000"/>
          <w:szCs w:val="24"/>
          <w:lang w:eastAsia="ar-SA"/>
        </w:rPr>
      </w:pPr>
      <w:r w:rsidRPr="006265EA">
        <w:rPr>
          <w:rFonts w:eastAsia="Calibri" w:cs="Times New Roman"/>
          <w:color w:val="000000"/>
          <w:szCs w:val="24"/>
          <w:lang w:eastAsia="ar-SA"/>
        </w:rPr>
        <w:t>izpildīt Pasūtītāja norādījumus un prasības, kas saistītas ar Pakalpojuma sniegšanu un nav pretrunā ar Pasūtītāja tehnisko specifikāciju, Izpildītāja piedāvājumu iepirkumā un līguma noteikumi</w:t>
      </w:r>
      <w:r w:rsidR="00F3764B">
        <w:rPr>
          <w:rFonts w:eastAsia="Calibri" w:cs="Times New Roman"/>
          <w:color w:val="000000"/>
          <w:szCs w:val="24"/>
          <w:lang w:eastAsia="ar-SA"/>
        </w:rPr>
        <w:t>em, kā arī normatīvajiem aktiem;</w:t>
      </w:r>
    </w:p>
    <w:p w:rsidR="00B97CFA" w:rsidRDefault="00F5264C" w:rsidP="006265EA">
      <w:pPr>
        <w:numPr>
          <w:ilvl w:val="2"/>
          <w:numId w:val="1"/>
        </w:numPr>
        <w:suppressAutoHyphens/>
        <w:spacing w:after="0" w:line="240" w:lineRule="auto"/>
        <w:jc w:val="both"/>
        <w:rPr>
          <w:rFonts w:eastAsia="Calibri" w:cs="Times New Roman"/>
          <w:color w:val="000000"/>
          <w:szCs w:val="24"/>
          <w:lang w:eastAsia="ar-SA"/>
        </w:rPr>
      </w:pPr>
      <w:r>
        <w:rPr>
          <w:rFonts w:eastAsia="Calibri" w:cs="Times New Roman"/>
          <w:color w:val="000000"/>
          <w:szCs w:val="24"/>
          <w:lang w:eastAsia="ar-SA"/>
        </w:rPr>
        <w:t>ēdienu pasniegšanas metodiku saskaņot ar Pasūtītāja pilnvaroto pārstāvi;</w:t>
      </w:r>
    </w:p>
    <w:p w:rsidR="00F5264C" w:rsidRDefault="00F5264C" w:rsidP="006265EA">
      <w:pPr>
        <w:numPr>
          <w:ilvl w:val="2"/>
          <w:numId w:val="1"/>
        </w:numPr>
        <w:suppressAutoHyphens/>
        <w:spacing w:after="0" w:line="240" w:lineRule="auto"/>
        <w:jc w:val="both"/>
        <w:rPr>
          <w:rFonts w:eastAsia="Calibri" w:cs="Times New Roman"/>
          <w:color w:val="000000"/>
          <w:szCs w:val="24"/>
          <w:lang w:eastAsia="ar-SA"/>
        </w:rPr>
      </w:pPr>
      <w:r>
        <w:rPr>
          <w:rFonts w:eastAsia="Calibri" w:cs="Times New Roman"/>
          <w:color w:val="000000"/>
          <w:szCs w:val="24"/>
          <w:lang w:eastAsia="ar-SA"/>
        </w:rPr>
        <w:t>nodrošināt Pakalpojuma sniegšanai papildus nepieciešamo tehnisko aprīkojumu, tai skaitā inventāru un saimniecības pamatlīdzekļus, transportu;</w:t>
      </w:r>
    </w:p>
    <w:p w:rsidR="00F3764B" w:rsidRPr="00F3764B" w:rsidRDefault="00F3764B" w:rsidP="00F3764B">
      <w:pPr>
        <w:pStyle w:val="ListParagraph"/>
        <w:numPr>
          <w:ilvl w:val="2"/>
          <w:numId w:val="1"/>
        </w:numPr>
        <w:jc w:val="both"/>
        <w:rPr>
          <w:rFonts w:eastAsia="Calibri" w:cs="Times New Roman"/>
          <w:color w:val="000000"/>
          <w:szCs w:val="24"/>
          <w:lang w:eastAsia="ar-SA"/>
        </w:rPr>
      </w:pPr>
      <w:r w:rsidRPr="00F3764B">
        <w:rPr>
          <w:rFonts w:eastAsia="Calibri" w:cs="Times New Roman"/>
          <w:color w:val="000000"/>
          <w:szCs w:val="24"/>
          <w:lang w:eastAsia="ar-SA"/>
        </w:rPr>
        <w:t>pirms gadskārtu ieražu svētkiem, valsts svētkiem u.c. svētkiem saskaņot ēdienkarti ar Pasūtītāju vienu nedēļu iepriekš;</w:t>
      </w:r>
    </w:p>
    <w:p w:rsidR="00F3764B" w:rsidRDefault="00F3764B" w:rsidP="00F3764B">
      <w:pPr>
        <w:pStyle w:val="ListParagraph"/>
        <w:numPr>
          <w:ilvl w:val="2"/>
          <w:numId w:val="1"/>
        </w:numPr>
        <w:jc w:val="both"/>
        <w:rPr>
          <w:rFonts w:eastAsia="Calibri" w:cs="Times New Roman"/>
          <w:color w:val="000000"/>
          <w:szCs w:val="24"/>
          <w:lang w:eastAsia="ar-SA"/>
        </w:rPr>
      </w:pPr>
      <w:r w:rsidRPr="00F3764B">
        <w:rPr>
          <w:rFonts w:eastAsia="Calibri" w:cs="Times New Roman"/>
          <w:color w:val="000000"/>
          <w:szCs w:val="24"/>
          <w:lang w:eastAsia="ar-SA"/>
        </w:rPr>
        <w:t>vienu reizi mēnesī piedalīties Pušu kopīgās apspriedēs, kurās tiek izs</w:t>
      </w:r>
      <w:r w:rsidR="00F5264C">
        <w:rPr>
          <w:rFonts w:eastAsia="Calibri" w:cs="Times New Roman"/>
          <w:color w:val="000000"/>
          <w:szCs w:val="24"/>
          <w:lang w:eastAsia="ar-SA"/>
        </w:rPr>
        <w:t>katītas problēmas un risinājumi.</w:t>
      </w:r>
    </w:p>
    <w:p w:rsidR="00F3764B" w:rsidRDefault="006265EA" w:rsidP="00F3764B">
      <w:pPr>
        <w:numPr>
          <w:ilvl w:val="1"/>
          <w:numId w:val="1"/>
        </w:numPr>
        <w:tabs>
          <w:tab w:val="num" w:pos="540"/>
        </w:tabs>
        <w:suppressAutoHyphens/>
        <w:spacing w:after="0" w:line="240" w:lineRule="auto"/>
        <w:jc w:val="both"/>
        <w:rPr>
          <w:rFonts w:eastAsia="Calibri" w:cs="Times New Roman"/>
          <w:szCs w:val="24"/>
          <w:lang w:eastAsia="ar-SA"/>
        </w:rPr>
      </w:pPr>
      <w:r w:rsidRPr="006265EA">
        <w:rPr>
          <w:rFonts w:eastAsia="Calibri" w:cs="Times New Roman"/>
          <w:szCs w:val="24"/>
          <w:lang w:eastAsia="ar-SA"/>
        </w:rPr>
        <w:t>Izpildītājam ir tiesības</w:t>
      </w:r>
      <w:r w:rsidR="00F3764B">
        <w:rPr>
          <w:rFonts w:eastAsia="Calibri" w:cs="Times New Roman"/>
          <w:szCs w:val="24"/>
          <w:lang w:eastAsia="ar-SA"/>
        </w:rPr>
        <w:t>:</w:t>
      </w:r>
    </w:p>
    <w:p w:rsidR="006265EA" w:rsidRPr="00F3764B" w:rsidRDefault="006265EA" w:rsidP="00F3764B">
      <w:pPr>
        <w:pStyle w:val="ListParagraph"/>
        <w:numPr>
          <w:ilvl w:val="2"/>
          <w:numId w:val="1"/>
        </w:numPr>
        <w:suppressAutoHyphens/>
        <w:spacing w:after="0" w:line="240" w:lineRule="auto"/>
        <w:jc w:val="both"/>
        <w:rPr>
          <w:rFonts w:eastAsia="Calibri" w:cs="Times New Roman"/>
          <w:szCs w:val="24"/>
          <w:lang w:eastAsia="ar-SA"/>
        </w:rPr>
      </w:pPr>
      <w:r w:rsidRPr="00F3764B">
        <w:rPr>
          <w:rFonts w:eastAsia="Calibri" w:cs="Times New Roman"/>
          <w:szCs w:val="24"/>
          <w:lang w:eastAsia="ar-SA"/>
        </w:rPr>
        <w:t>saņemt savlaicīgu informāciju par izmaiņām iestādes darba grafikā, svētk</w:t>
      </w:r>
      <w:r w:rsidR="00F3764B" w:rsidRPr="00F3764B">
        <w:rPr>
          <w:rFonts w:eastAsia="Calibri" w:cs="Times New Roman"/>
          <w:szCs w:val="24"/>
          <w:lang w:eastAsia="ar-SA"/>
        </w:rPr>
        <w:t>u dienās un ārkārtas situācijās;</w:t>
      </w:r>
    </w:p>
    <w:p w:rsidR="00F3764B" w:rsidRPr="00F3764B" w:rsidRDefault="00F3764B" w:rsidP="00F3764B">
      <w:pPr>
        <w:pStyle w:val="ListParagraph"/>
        <w:numPr>
          <w:ilvl w:val="2"/>
          <w:numId w:val="1"/>
        </w:numPr>
        <w:tabs>
          <w:tab w:val="num" w:pos="720"/>
        </w:tabs>
        <w:spacing w:after="0" w:line="240" w:lineRule="auto"/>
        <w:jc w:val="both"/>
        <w:rPr>
          <w:rFonts w:eastAsia="Calibri" w:cs="Times New Roman"/>
          <w:szCs w:val="24"/>
          <w:lang w:eastAsia="ar-SA"/>
        </w:rPr>
      </w:pPr>
      <w:r>
        <w:rPr>
          <w:rFonts w:eastAsia="Calibri" w:cs="Times New Roman"/>
          <w:szCs w:val="24"/>
          <w:lang w:eastAsia="ar-SA"/>
        </w:rPr>
        <w:t xml:space="preserve">mainīt </w:t>
      </w:r>
      <w:r w:rsidRPr="00F3764B">
        <w:rPr>
          <w:rFonts w:eastAsia="Calibri" w:cs="Times New Roman"/>
          <w:szCs w:val="24"/>
          <w:lang w:eastAsia="ar-SA"/>
        </w:rPr>
        <w:t>apstiprināto ēdienkarti, to saskaņojot ar Pasūtītāju;</w:t>
      </w:r>
    </w:p>
    <w:p w:rsidR="00F3764B" w:rsidRDefault="00F3764B" w:rsidP="00F3764B">
      <w:pPr>
        <w:pStyle w:val="ListParagraph"/>
        <w:numPr>
          <w:ilvl w:val="2"/>
          <w:numId w:val="1"/>
        </w:numPr>
        <w:spacing w:after="0" w:line="240" w:lineRule="auto"/>
        <w:jc w:val="both"/>
        <w:rPr>
          <w:rFonts w:eastAsia="Calibri" w:cs="Times New Roman"/>
          <w:szCs w:val="24"/>
          <w:lang w:eastAsia="ar-SA"/>
        </w:rPr>
      </w:pPr>
      <w:r w:rsidRPr="00F3764B">
        <w:rPr>
          <w:rFonts w:eastAsia="Calibri" w:cs="Times New Roman"/>
          <w:szCs w:val="24"/>
          <w:lang w:eastAsia="ar-SA"/>
        </w:rPr>
        <w:t>saņemt iesniegtās ēdienkartes apstiprinājumu vienu nedē</w:t>
      </w:r>
      <w:r>
        <w:rPr>
          <w:rFonts w:eastAsia="Calibri" w:cs="Times New Roman"/>
          <w:szCs w:val="24"/>
          <w:lang w:eastAsia="ar-SA"/>
        </w:rPr>
        <w:t>ļu pirms pakalpojuma sniegšanas.</w:t>
      </w:r>
    </w:p>
    <w:p w:rsidR="00F3764B" w:rsidRPr="00F3764B" w:rsidRDefault="00F3764B" w:rsidP="00F3764B">
      <w:pPr>
        <w:pStyle w:val="ListParagraph"/>
        <w:spacing w:after="0" w:line="240" w:lineRule="auto"/>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Pasūtītāja pienākumi un tiesības</w:t>
      </w:r>
    </w:p>
    <w:p w:rsidR="006265EA" w:rsidRPr="006265EA" w:rsidRDefault="006265EA" w:rsidP="006265EA">
      <w:pPr>
        <w:numPr>
          <w:ilvl w:val="1"/>
          <w:numId w:val="1"/>
        </w:numPr>
        <w:tabs>
          <w:tab w:val="num" w:pos="540"/>
        </w:tabs>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Pasūtītāja pienākums ir:</w:t>
      </w:r>
    </w:p>
    <w:p w:rsidR="006265EA" w:rsidRPr="00382FAF"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382FAF">
        <w:rPr>
          <w:rFonts w:eastAsia="Calibri" w:cs="Times New Roman"/>
          <w:szCs w:val="24"/>
          <w:lang w:eastAsia="ar-SA"/>
        </w:rPr>
        <w:t>ie</w:t>
      </w:r>
      <w:r w:rsidR="003E5BB6" w:rsidRPr="00382FAF">
        <w:rPr>
          <w:rFonts w:eastAsia="Calibri" w:cs="Times New Roman"/>
          <w:szCs w:val="24"/>
          <w:lang w:eastAsia="ar-SA"/>
        </w:rPr>
        <w:t xml:space="preserve">sniegt Izpildītājam līdz </w:t>
      </w:r>
      <w:r w:rsidR="00382FAF" w:rsidRPr="00382FAF">
        <w:rPr>
          <w:rFonts w:eastAsia="Calibri" w:cs="Times New Roman"/>
          <w:szCs w:val="24"/>
          <w:lang w:eastAsia="ar-SA"/>
        </w:rPr>
        <w:t>iepriekšējās dienas plkst. 18:0</w:t>
      </w:r>
      <w:r w:rsidRPr="00382FAF">
        <w:rPr>
          <w:rFonts w:eastAsia="Calibri" w:cs="Times New Roman"/>
          <w:szCs w:val="24"/>
          <w:lang w:eastAsia="ar-SA"/>
        </w:rPr>
        <w:t xml:space="preserve">0 pieteikumu par bērnu skaitu </w:t>
      </w:r>
      <w:r w:rsidR="003E5BB6" w:rsidRPr="00382FAF">
        <w:rPr>
          <w:rFonts w:eastAsia="Calibri" w:cs="Times New Roman"/>
          <w:szCs w:val="24"/>
          <w:lang w:eastAsia="ar-SA"/>
        </w:rPr>
        <w:t>nākamajai dienai</w:t>
      </w:r>
      <w:r w:rsidRPr="00382FAF">
        <w:rPr>
          <w:rFonts w:eastAsia="Calibri" w:cs="Times New Roman"/>
          <w:szCs w:val="24"/>
          <w:lang w:eastAsia="ar-SA"/>
        </w:rPr>
        <w:t>;</w:t>
      </w:r>
    </w:p>
    <w:p w:rsidR="006265EA" w:rsidRPr="00382FAF" w:rsidRDefault="006265EA" w:rsidP="006265EA">
      <w:pPr>
        <w:numPr>
          <w:ilvl w:val="2"/>
          <w:numId w:val="1"/>
        </w:numPr>
        <w:tabs>
          <w:tab w:val="num" w:pos="567"/>
        </w:tabs>
        <w:suppressAutoHyphens/>
        <w:spacing w:after="0" w:line="240" w:lineRule="auto"/>
        <w:ind w:left="567" w:hanging="567"/>
        <w:jc w:val="both"/>
        <w:rPr>
          <w:rFonts w:eastAsia="Calibri" w:cs="Times New Roman"/>
          <w:color w:val="000000"/>
          <w:szCs w:val="24"/>
          <w:lang w:eastAsia="ar-SA"/>
        </w:rPr>
      </w:pPr>
      <w:r w:rsidRPr="00382FAF">
        <w:rPr>
          <w:rFonts w:eastAsia="Calibri" w:cs="Times New Roman"/>
          <w:color w:val="000000"/>
          <w:szCs w:val="24"/>
          <w:lang w:eastAsia="ar-SA"/>
        </w:rPr>
        <w:t xml:space="preserve">saskaņot Izpildītāja iesniegto katras nedēļas ēdienkarti ne vēlāk kā divu darba dienu laikā pēc tās iesniegšanas, kura pēc saskaņošanas tiek izvietota </w:t>
      </w:r>
      <w:r w:rsidR="003E5BB6" w:rsidRPr="00382FAF">
        <w:rPr>
          <w:rFonts w:eastAsia="Calibri" w:cs="Times New Roman"/>
          <w:color w:val="000000"/>
          <w:szCs w:val="24"/>
          <w:lang w:eastAsia="ar-SA"/>
        </w:rPr>
        <w:t>redzamā</w:t>
      </w:r>
      <w:r w:rsidRPr="00382FAF">
        <w:rPr>
          <w:rFonts w:eastAsia="Calibri" w:cs="Times New Roman"/>
          <w:color w:val="000000"/>
          <w:szCs w:val="24"/>
          <w:lang w:eastAsia="ar-SA"/>
        </w:rPr>
        <w:t xml:space="preserve"> vietā;</w:t>
      </w:r>
    </w:p>
    <w:p w:rsidR="006265EA" w:rsidRPr="006265EA" w:rsidRDefault="006265EA" w:rsidP="006265EA">
      <w:pPr>
        <w:numPr>
          <w:ilvl w:val="2"/>
          <w:numId w:val="1"/>
        </w:numPr>
        <w:tabs>
          <w:tab w:val="num" w:pos="567"/>
        </w:tabs>
        <w:suppressAutoHyphens/>
        <w:spacing w:after="0" w:line="240" w:lineRule="auto"/>
        <w:ind w:left="567" w:hanging="567"/>
        <w:jc w:val="both"/>
        <w:rPr>
          <w:rFonts w:eastAsia="Calibri" w:cs="Times New Roman"/>
          <w:color w:val="000000"/>
          <w:szCs w:val="24"/>
          <w:lang w:eastAsia="ar-SA"/>
        </w:rPr>
      </w:pPr>
      <w:r w:rsidRPr="006265EA">
        <w:rPr>
          <w:rFonts w:eastAsia="Calibri" w:cs="Times New Roman"/>
          <w:color w:val="000000"/>
          <w:szCs w:val="24"/>
          <w:lang w:eastAsia="ar-SA"/>
        </w:rPr>
        <w:t xml:space="preserve">informēt Izpildītāju par </w:t>
      </w:r>
      <w:r w:rsidR="003E5BB6">
        <w:rPr>
          <w:rFonts w:eastAsia="Calibri" w:cs="Times New Roman"/>
          <w:color w:val="000000"/>
          <w:szCs w:val="24"/>
          <w:lang w:eastAsia="ar-SA"/>
        </w:rPr>
        <w:t>bērniem</w:t>
      </w:r>
      <w:r w:rsidRPr="006265EA">
        <w:rPr>
          <w:rFonts w:eastAsia="Calibri" w:cs="Times New Roman"/>
          <w:color w:val="000000"/>
          <w:szCs w:val="24"/>
          <w:lang w:eastAsia="ar-SA"/>
        </w:rPr>
        <w:t>, kuriem ir ārsta apstiprināta diagnoze (piemēram, celiakija, cukura diabēts, pārtikas alerģija), kuras dēļ ir nepieciešama uztura korekcija;</w:t>
      </w:r>
    </w:p>
    <w:p w:rsidR="006265EA" w:rsidRPr="006265EA"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6265EA">
        <w:rPr>
          <w:rFonts w:eastAsia="Calibri" w:cs="Times New Roman"/>
          <w:szCs w:val="24"/>
          <w:lang w:eastAsia="ar-SA"/>
        </w:rPr>
        <w:t>rakstiski paziņot Izpildītājam 1 (vienu) mēnesi iepriekš par Pakalpojuma sniegšanas pārtraukšanu, gadījumos, kad tiek pārtraukta iestādes darbība, neparedzētos gadījumos - 1 (vienu) dienu iepriekš.</w:t>
      </w:r>
    </w:p>
    <w:p w:rsidR="006265EA" w:rsidRPr="006265EA" w:rsidRDefault="006265EA" w:rsidP="006265EA">
      <w:pPr>
        <w:numPr>
          <w:ilvl w:val="1"/>
          <w:numId w:val="1"/>
        </w:numPr>
        <w:tabs>
          <w:tab w:val="num" w:pos="540"/>
        </w:tabs>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Pasūtītājam ir tiesības:</w:t>
      </w:r>
    </w:p>
    <w:p w:rsidR="006265EA" w:rsidRPr="006265EA"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6265EA">
        <w:rPr>
          <w:rFonts w:eastAsia="Calibri" w:cs="Times New Roman"/>
          <w:szCs w:val="24"/>
          <w:lang w:eastAsia="ar-SA"/>
        </w:rPr>
        <w:t>jebkurā laikā ierasties Pakalpojuma sniegšanas vietā, lai veiktu Pakalpojuma, tai skaitā, ēdināšanā izmantojamo produktu kvalitātes atbilstību līgumā un normatīvajos aktos noteiktajām prasībām pārbaudi;</w:t>
      </w:r>
    </w:p>
    <w:p w:rsidR="006265EA" w:rsidRPr="00382FAF"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382FAF">
        <w:rPr>
          <w:rFonts w:eastAsia="Calibri" w:cs="Times New Roman"/>
          <w:szCs w:val="24"/>
          <w:lang w:eastAsia="ar-SA"/>
        </w:rPr>
        <w:t xml:space="preserve">saņemt saskaņošanai ēdienkarti ne vēlāk kā </w:t>
      </w:r>
      <w:r w:rsidR="003E5BB6" w:rsidRPr="00382FAF">
        <w:rPr>
          <w:rFonts w:eastAsia="Calibri" w:cs="Times New Roman"/>
          <w:szCs w:val="24"/>
          <w:lang w:eastAsia="ar-SA"/>
        </w:rPr>
        <w:t>7</w:t>
      </w:r>
      <w:r w:rsidRPr="00382FAF">
        <w:rPr>
          <w:rFonts w:eastAsia="Calibri" w:cs="Times New Roman"/>
          <w:szCs w:val="24"/>
          <w:lang w:eastAsia="ar-SA"/>
        </w:rPr>
        <w:t xml:space="preserve"> (</w:t>
      </w:r>
      <w:r w:rsidR="003E5BB6" w:rsidRPr="00382FAF">
        <w:rPr>
          <w:rFonts w:eastAsia="Calibri" w:cs="Times New Roman"/>
          <w:szCs w:val="24"/>
          <w:lang w:eastAsia="ar-SA"/>
        </w:rPr>
        <w:t>septiņas</w:t>
      </w:r>
      <w:r w:rsidRPr="00382FAF">
        <w:rPr>
          <w:rFonts w:eastAsia="Calibri" w:cs="Times New Roman"/>
          <w:szCs w:val="24"/>
          <w:lang w:eastAsia="ar-SA"/>
        </w:rPr>
        <w:t>) darba dienas pirms Pakalpojuma saņemšanas;</w:t>
      </w:r>
    </w:p>
    <w:p w:rsidR="0070582D" w:rsidRPr="0070582D" w:rsidRDefault="0070582D" w:rsidP="0070582D">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70582D">
        <w:rPr>
          <w:rFonts w:eastAsia="Calibri" w:cs="Times New Roman"/>
          <w:szCs w:val="24"/>
          <w:lang w:eastAsia="ar-SA"/>
        </w:rPr>
        <w:t>iesniegt priekšlikumus par vēlamo ēdienu iekļaušanu ēdienkartē;</w:t>
      </w:r>
    </w:p>
    <w:p w:rsidR="006265EA" w:rsidRPr="006265EA"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6265EA">
        <w:rPr>
          <w:rFonts w:eastAsia="Calibri" w:cs="Times New Roman"/>
          <w:szCs w:val="24"/>
          <w:lang w:eastAsia="ar-SA"/>
        </w:rPr>
        <w:t>nepieciešamības gadījumā pieprasīt no Izpildītāja sniegt paskaidrojumus par Pakalpojuma sniegšanas gaitu, pārtikas piegādes, uzglabāšanas, sagatavošanas un pasniegšanas kārtību;</w:t>
      </w:r>
    </w:p>
    <w:p w:rsidR="006265EA" w:rsidRDefault="006265EA" w:rsidP="006265EA">
      <w:pPr>
        <w:numPr>
          <w:ilvl w:val="2"/>
          <w:numId w:val="1"/>
        </w:numPr>
        <w:tabs>
          <w:tab w:val="num" w:pos="567"/>
        </w:tabs>
        <w:suppressAutoHyphens/>
        <w:spacing w:before="120" w:after="0" w:line="240" w:lineRule="auto"/>
        <w:ind w:left="567" w:hanging="567"/>
        <w:jc w:val="both"/>
        <w:rPr>
          <w:rFonts w:eastAsia="Calibri" w:cs="Times New Roman"/>
          <w:szCs w:val="24"/>
          <w:lang w:eastAsia="ar-SA"/>
        </w:rPr>
      </w:pPr>
      <w:r w:rsidRPr="006265EA">
        <w:rPr>
          <w:rFonts w:eastAsia="Calibri" w:cs="Times New Roman"/>
          <w:szCs w:val="24"/>
          <w:lang w:eastAsia="ar-SA"/>
        </w:rPr>
        <w:lastRenderedPageBreak/>
        <w:t>pārbaudīt un kontrolēt dokumentālus apliecinājumus par sadarbību ar paaugstinātas kv</w:t>
      </w:r>
      <w:r w:rsidR="0070582D">
        <w:rPr>
          <w:rFonts w:eastAsia="Calibri" w:cs="Times New Roman"/>
          <w:szCs w:val="24"/>
          <w:lang w:eastAsia="ar-SA"/>
        </w:rPr>
        <w:t>alitātes produktu piegādātājiem.</w:t>
      </w:r>
    </w:p>
    <w:p w:rsidR="003E5BB6" w:rsidRPr="006265EA" w:rsidRDefault="003E5BB6" w:rsidP="003E5BB6">
      <w:pPr>
        <w:tabs>
          <w:tab w:val="num" w:pos="862"/>
        </w:tabs>
        <w:suppressAutoHyphens/>
        <w:spacing w:before="120" w:after="0" w:line="240" w:lineRule="auto"/>
        <w:ind w:left="567"/>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Atbildība</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Puses ir atbildīgas par līgumā noteikto saistību pilnīgu izpildi, atbilstoši līguma nosacījumiem.</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 xml:space="preserve">Par līgumā noteikto saistību pienācīgu neizpildi Puses ir atbildīgas saskaņā ar šo līgumu, Civillikumu un citiem normatīvajiem aktiem. </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Izpildītājs maksā līgumsodu attiecīgās dienas Pakalpojuma saņēmēju kopējās cenas apmērā par katru ēdienreizi, kad netiek nodrošināta Pakalpojuma sniegšana, atbilstoši līguma nosacījumiem.</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Izpildītājs atlīdzina Pasūtītājam radušos materiālos zaudējumus, kā arī līgumsodu 0,5 % (nulle komats pieci procenti) apmērā no kopējās līgumcenas, ja Izpildītājs vienpusēji atsakās no līguma izpildes. Šī fakta iestāšanās gadījumā Izpildītājs paziņo Pasūtītājam vismaz 1 (vienu) mēnesi iepriekš rakstiski.</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lv-LV"/>
        </w:rPr>
        <w:t>Pēc Puses rakstveida pieprasījuma otra Puse atlīdzina pilnā apmērā visus zaudējumus saskaņā ar Civillikumu, kas radušies otras Puses vainas dēļ līguma nepienācīgas izpildes rezultātā.</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Ja Pasūtītājs vai kompetenta institūcija, kas veic Pakalpojuma uzraudzību un kontroli, konstatē nepilnības un/vai trūkumus Pakalpojuma sniegšanas procesā, Izpildītājs tos novērš par saviem līdzekļiem. Ja Izpildītājs nenovērš konstatētās nepilnības un/vai trūkumus un neveic nepieciešamos pasākumus to novēršanai noteiktajā termiņā, Pasūtītājs ir tiesīgs vienpusēji izbeigt līgumu, 1 (vienu) mēnesi iepriekš rakstiski paziņojot par to Izpildītājam.</w:t>
      </w:r>
    </w:p>
    <w:p w:rsidR="006265EA" w:rsidRP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Ja Izpildītājs, sniedzot Pakalpojumu, ir pieļāvis rupjus pārkāpumus, kas būtiski apdraudējuši bērnu, darbinieku un citu apmeklētāju veselību, un minēto faktu apliecina kompetentas institūcijas atzinums par Pakalpojuma neatbilstību normatīvajiem aktiem, Pasūtītājs nekavējoties vienpusēji izbeidz līgumu.</w:t>
      </w:r>
    </w:p>
    <w:p w:rsidR="006265EA" w:rsidRDefault="006265EA" w:rsidP="006265EA">
      <w:pPr>
        <w:numPr>
          <w:ilvl w:val="1"/>
          <w:numId w:val="1"/>
        </w:numPr>
        <w:suppressAutoHyphens/>
        <w:spacing w:before="120" w:after="0" w:line="240" w:lineRule="auto"/>
        <w:jc w:val="both"/>
        <w:rPr>
          <w:rFonts w:eastAsia="Calibri" w:cs="Times New Roman"/>
          <w:szCs w:val="24"/>
          <w:lang w:eastAsia="ar-SA"/>
        </w:rPr>
      </w:pPr>
      <w:r w:rsidRPr="006265EA">
        <w:rPr>
          <w:rFonts w:eastAsia="Calibri" w:cs="Times New Roman"/>
          <w:szCs w:val="24"/>
          <w:lang w:eastAsia="ar-SA"/>
        </w:rPr>
        <w:t xml:space="preserve">Pakalpojuma neatbilstību kvalitātes prasībām apliecina Pušu divpusēji sastādīts akts, kuru paraksta </w:t>
      </w:r>
      <w:r w:rsidR="003E5BB6">
        <w:rPr>
          <w:rFonts w:eastAsia="Calibri" w:cs="Times New Roman"/>
          <w:szCs w:val="24"/>
          <w:lang w:eastAsia="ar-SA"/>
        </w:rPr>
        <w:t>Iestādes vadītāja</w:t>
      </w:r>
      <w:r w:rsidRPr="006265EA">
        <w:rPr>
          <w:rFonts w:eastAsia="Calibri" w:cs="Times New Roman"/>
          <w:szCs w:val="24"/>
          <w:lang w:eastAsia="ar-SA"/>
        </w:rPr>
        <w:t xml:space="preserve"> un Pasūtītāja pilnvarotā persona vai Pārtikas un veterinārā dienesta pārstāvis.</w:t>
      </w:r>
    </w:p>
    <w:p w:rsidR="003E5BB6" w:rsidRPr="006265EA" w:rsidRDefault="003E5BB6" w:rsidP="003E5BB6">
      <w:pPr>
        <w:suppressAutoHyphens/>
        <w:spacing w:before="120" w:after="0" w:line="240" w:lineRule="auto"/>
        <w:ind w:left="720"/>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ind w:right="-58"/>
        <w:jc w:val="center"/>
        <w:rPr>
          <w:rFonts w:eastAsia="Calibri" w:cs="Times New Roman"/>
          <w:b/>
          <w:bCs/>
          <w:color w:val="000000"/>
          <w:szCs w:val="24"/>
          <w:lang w:eastAsia="ar-SA"/>
        </w:rPr>
      </w:pPr>
      <w:r w:rsidRPr="006265EA">
        <w:rPr>
          <w:rFonts w:eastAsia="Calibri" w:cs="Times New Roman"/>
          <w:b/>
          <w:bCs/>
          <w:color w:val="000000"/>
          <w:szCs w:val="24"/>
          <w:lang w:eastAsia="ar-SA"/>
        </w:rPr>
        <w:t>Nepārvarama vara</w:t>
      </w:r>
    </w:p>
    <w:p w:rsidR="006265EA" w:rsidRPr="006265EA" w:rsidRDefault="006265EA" w:rsidP="006265EA">
      <w:pPr>
        <w:numPr>
          <w:ilvl w:val="1"/>
          <w:numId w:val="1"/>
        </w:numPr>
        <w:spacing w:before="120" w:after="0" w:line="240" w:lineRule="auto"/>
        <w:jc w:val="both"/>
        <w:rPr>
          <w:rFonts w:eastAsia="Calibri" w:cs="Times New Roman"/>
          <w:szCs w:val="24"/>
          <w:lang w:eastAsia="lv-LV"/>
        </w:rPr>
      </w:pPr>
      <w:r w:rsidRPr="006265EA">
        <w:rPr>
          <w:rFonts w:eastAsia="Calibri" w:cs="Times New Roman"/>
          <w:szCs w:val="24"/>
          <w:lang w:eastAsia="lv-LV"/>
        </w:rPr>
        <w:t xml:space="preserve">Neviena no Pusēm nav atbildīga par līguma saistību neizpildi, ja saistību izpilde nav bijusi iespējama nepārvaramas varas apstākļu dēļ, kas radušies pēc līguma noslēgšanas, ja Puse par šādu apstākļu iestāšanos ir informējusi otru Pusi 24 (divdesmit četru) stundu laikā no šādu apstākļu rašanās brīža. </w:t>
      </w:r>
    </w:p>
    <w:p w:rsidR="006265EA" w:rsidRPr="006265EA" w:rsidRDefault="006265EA" w:rsidP="006265EA">
      <w:pPr>
        <w:numPr>
          <w:ilvl w:val="1"/>
          <w:numId w:val="1"/>
        </w:numPr>
        <w:spacing w:before="120" w:after="0" w:line="240" w:lineRule="auto"/>
        <w:jc w:val="both"/>
        <w:rPr>
          <w:rFonts w:eastAsia="Calibri" w:cs="Times New Roman"/>
          <w:szCs w:val="24"/>
          <w:lang w:eastAsia="lv-LV"/>
        </w:rPr>
      </w:pPr>
      <w:r w:rsidRPr="006265EA">
        <w:rPr>
          <w:rFonts w:eastAsia="Calibri" w:cs="Times New Roman"/>
          <w:szCs w:val="24"/>
          <w:lang w:eastAsia="lv-LV"/>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6265EA" w:rsidRPr="006265EA" w:rsidRDefault="006265EA" w:rsidP="006265EA">
      <w:pPr>
        <w:numPr>
          <w:ilvl w:val="1"/>
          <w:numId w:val="1"/>
        </w:numPr>
        <w:spacing w:before="120" w:after="0" w:line="240" w:lineRule="auto"/>
        <w:jc w:val="both"/>
        <w:rPr>
          <w:rFonts w:eastAsia="Calibri" w:cs="Times New Roman"/>
          <w:szCs w:val="24"/>
          <w:lang w:eastAsia="lv-LV"/>
        </w:rPr>
      </w:pPr>
      <w:r w:rsidRPr="006265EA">
        <w:rPr>
          <w:rFonts w:eastAsia="Calibri" w:cs="Times New Roman"/>
          <w:szCs w:val="24"/>
          <w:lang w:eastAsia="lv-LV"/>
        </w:rPr>
        <w:lastRenderedPageBreak/>
        <w:t>Pusei, kura atsaucas uz nepārvaramas varas apstākļiem, ir jāpierāda, ka tai nebija iespēju ne paredzēt, ne novērst radušos apstākļus un to radītās sekas.</w:t>
      </w:r>
    </w:p>
    <w:p w:rsidR="006265EA" w:rsidRPr="006265EA" w:rsidRDefault="006265EA" w:rsidP="006265EA">
      <w:pPr>
        <w:numPr>
          <w:ilvl w:val="1"/>
          <w:numId w:val="1"/>
        </w:numPr>
        <w:spacing w:before="120" w:after="0" w:line="240" w:lineRule="auto"/>
        <w:jc w:val="both"/>
        <w:rPr>
          <w:rFonts w:eastAsia="Calibri" w:cs="Times New Roman"/>
          <w:szCs w:val="24"/>
          <w:lang w:eastAsia="lv-LV"/>
        </w:rPr>
      </w:pPr>
      <w:r w:rsidRPr="006265EA">
        <w:rPr>
          <w:rFonts w:eastAsia="Calibri" w:cs="Times New Roman"/>
          <w:szCs w:val="24"/>
          <w:lang w:eastAsia="lv-LV"/>
        </w:rPr>
        <w:t xml:space="preserve">Gadījumā, ja nepārvaramas varas apstākļi </w:t>
      </w:r>
      <w:proofErr w:type="gramStart"/>
      <w:r w:rsidRPr="006265EA">
        <w:rPr>
          <w:rFonts w:eastAsia="Calibri" w:cs="Times New Roman"/>
          <w:szCs w:val="24"/>
          <w:lang w:eastAsia="lv-LV"/>
        </w:rPr>
        <w:t>turpinās ilgāk kā</w:t>
      </w:r>
      <w:proofErr w:type="gramEnd"/>
      <w:r w:rsidRPr="006265EA">
        <w:rPr>
          <w:rFonts w:eastAsia="Calibri" w:cs="Times New Roman"/>
          <w:szCs w:val="24"/>
          <w:lang w:eastAsia="lv-LV"/>
        </w:rPr>
        <w:t xml:space="preserve"> 30 (trīsdesmit) kalendārās dienas, katra no Pusēm ir tiesīga vienpusēji atkāpties no līguma, par to rakstveidā brīdinot otru pusi 5 (piecas) darba dienas iepriekš.</w:t>
      </w:r>
    </w:p>
    <w:p w:rsidR="006265EA" w:rsidRPr="006265EA" w:rsidRDefault="006265EA" w:rsidP="006265EA">
      <w:pPr>
        <w:suppressAutoHyphens/>
        <w:spacing w:before="120" w:after="0" w:line="240" w:lineRule="auto"/>
        <w:jc w:val="both"/>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Līguma grozīšana un izbeigšana</w:t>
      </w:r>
    </w:p>
    <w:p w:rsidR="006265EA" w:rsidRPr="006265EA" w:rsidRDefault="006265EA" w:rsidP="006265EA">
      <w:pPr>
        <w:numPr>
          <w:ilvl w:val="1"/>
          <w:numId w:val="1"/>
        </w:numPr>
        <w:tabs>
          <w:tab w:val="num" w:pos="540"/>
        </w:tabs>
        <w:suppressAutoHyphens/>
        <w:spacing w:before="120" w:after="0" w:line="240" w:lineRule="auto"/>
        <w:ind w:left="540" w:right="-57" w:hanging="540"/>
        <w:jc w:val="both"/>
        <w:rPr>
          <w:rFonts w:eastAsia="Calibri" w:cs="Times New Roman"/>
          <w:color w:val="000000"/>
          <w:szCs w:val="24"/>
          <w:lang w:eastAsia="ar-SA"/>
        </w:rPr>
      </w:pPr>
      <w:r w:rsidRPr="006265EA">
        <w:rPr>
          <w:rFonts w:eastAsia="Calibri" w:cs="Times New Roman"/>
          <w:szCs w:val="24"/>
        </w:rPr>
        <w:t>Līgumu var grozīt vai papildināt, Pusēm savstarpēji rakstiski vienojoties. Jebkuri līguma grozījumi vai papildinājumi tiek noformēti rakstveidā un kļūst par šī līguma neatņemamām sastāvdaļām. Līguma grozījumi, papildinājumi stājas spēkā no brīža, kad abas Puses tos ir parakstījušas.</w:t>
      </w:r>
    </w:p>
    <w:p w:rsidR="006265EA" w:rsidRPr="006265EA" w:rsidRDefault="006265EA" w:rsidP="006265EA">
      <w:pPr>
        <w:numPr>
          <w:ilvl w:val="1"/>
          <w:numId w:val="1"/>
        </w:numPr>
        <w:tabs>
          <w:tab w:val="num" w:pos="540"/>
        </w:tabs>
        <w:suppressAutoHyphens/>
        <w:spacing w:before="120" w:after="0" w:line="240" w:lineRule="auto"/>
        <w:ind w:left="540" w:hanging="540"/>
        <w:jc w:val="both"/>
        <w:rPr>
          <w:rFonts w:eastAsia="Calibri" w:cs="Times New Roman"/>
          <w:b/>
          <w:bCs/>
          <w:szCs w:val="24"/>
          <w:lang w:eastAsia="ar-SA"/>
        </w:rPr>
      </w:pPr>
      <w:r w:rsidRPr="006265EA">
        <w:rPr>
          <w:rFonts w:eastAsia="Calibri" w:cs="Times New Roman"/>
          <w:szCs w:val="24"/>
          <w:lang w:eastAsia="ar-SA"/>
        </w:rPr>
        <w:t>Pasūtītājs ir tiesīgs grozīt līguma 3.1.punktā norādīto cenu gadījumos, ja ir stājušies spēkā grozījumi normatīvajos aktos, kas būtiski ietekmē ēdināšanas pakalpojuma sniegšanu, bet ne biežāk kā vienu reizi kalendārā gada laikā.</w:t>
      </w:r>
    </w:p>
    <w:p w:rsidR="006265EA" w:rsidRPr="006265EA" w:rsidRDefault="006265EA" w:rsidP="006265EA">
      <w:pPr>
        <w:numPr>
          <w:ilvl w:val="1"/>
          <w:numId w:val="1"/>
        </w:numPr>
        <w:tabs>
          <w:tab w:val="num" w:pos="540"/>
        </w:tabs>
        <w:suppressAutoHyphens/>
        <w:spacing w:before="120" w:after="0" w:line="240" w:lineRule="auto"/>
        <w:ind w:left="540" w:right="-57" w:hanging="540"/>
        <w:jc w:val="both"/>
        <w:rPr>
          <w:rFonts w:eastAsia="Calibri" w:cs="Times New Roman"/>
          <w:color w:val="000000"/>
          <w:szCs w:val="24"/>
          <w:lang w:eastAsia="ar-SA"/>
        </w:rPr>
      </w:pPr>
      <w:r w:rsidRPr="006265EA">
        <w:rPr>
          <w:rFonts w:eastAsia="Calibri" w:cs="Times New Roman"/>
          <w:szCs w:val="24"/>
          <w:lang w:eastAsia="ar-SA"/>
        </w:rPr>
        <w:t>Līgumu var izbeigt jebkurā laikā pirms termiņa, Pusēm par to rakstiski vienojoties 1 (vienu) mēnesi iepriekš.</w:t>
      </w:r>
    </w:p>
    <w:p w:rsidR="006265EA" w:rsidRPr="003E5BB6" w:rsidRDefault="006265EA" w:rsidP="003E5BB6">
      <w:pPr>
        <w:numPr>
          <w:ilvl w:val="1"/>
          <w:numId w:val="1"/>
        </w:numPr>
        <w:tabs>
          <w:tab w:val="num" w:pos="540"/>
        </w:tabs>
        <w:suppressAutoHyphens/>
        <w:spacing w:before="120" w:after="0" w:line="240" w:lineRule="auto"/>
        <w:ind w:left="540" w:right="-57" w:hanging="540"/>
        <w:jc w:val="both"/>
        <w:rPr>
          <w:rFonts w:eastAsia="Calibri" w:cs="Times New Roman"/>
          <w:color w:val="000000"/>
          <w:szCs w:val="24"/>
          <w:lang w:eastAsia="ar-SA"/>
        </w:rPr>
      </w:pPr>
      <w:r w:rsidRPr="006265EA">
        <w:rPr>
          <w:rFonts w:eastAsia="Calibri" w:cs="Times New Roman"/>
          <w:szCs w:val="24"/>
          <w:lang w:eastAsia="ar-SA"/>
        </w:rPr>
        <w:t xml:space="preserve">Ja kāda Puse nepilda vai nepienācīgi pilda līguma nosacījumus, otrai Pusei ir tiesības izbeigt šī līguma darbību, 1 (vienu) mēnesi iepriekš rakstiski paziņojot par to otrai Pusei. </w:t>
      </w:r>
      <w:r w:rsidRPr="006265EA">
        <w:rPr>
          <w:rFonts w:eastAsia="Calibri" w:cs="Times New Roman"/>
          <w:szCs w:val="24"/>
        </w:rPr>
        <w:t>Līgums tiek uzskatīts par izbeigtu no paziņojuma nosūtīšanas brīža.</w:t>
      </w:r>
    </w:p>
    <w:p w:rsidR="006265EA" w:rsidRPr="006265EA" w:rsidRDefault="006265EA" w:rsidP="006265EA">
      <w:pPr>
        <w:numPr>
          <w:ilvl w:val="1"/>
          <w:numId w:val="1"/>
        </w:numPr>
        <w:tabs>
          <w:tab w:val="num" w:pos="567"/>
        </w:tabs>
        <w:suppressAutoHyphens/>
        <w:spacing w:after="0" w:line="240" w:lineRule="auto"/>
        <w:ind w:left="567" w:hanging="567"/>
        <w:jc w:val="both"/>
        <w:rPr>
          <w:rFonts w:eastAsia="Calibri" w:cs="Times New Roman"/>
          <w:color w:val="000000"/>
          <w:szCs w:val="24"/>
          <w:lang w:eastAsia="ar-SA"/>
        </w:rPr>
      </w:pPr>
      <w:r w:rsidRPr="006265EA">
        <w:rPr>
          <w:rFonts w:eastAsia="Calibri" w:cs="Times New Roman"/>
          <w:color w:val="000000"/>
          <w:szCs w:val="24"/>
        </w:rPr>
        <w:t xml:space="preserve">Pasūtītājs ir tiesīgs </w:t>
      </w:r>
      <w:r w:rsidRPr="006265EA">
        <w:rPr>
          <w:rFonts w:eastAsia="Calibri" w:cs="Times New Roman"/>
          <w:color w:val="000000"/>
          <w:szCs w:val="24"/>
          <w:lang w:eastAsia="ar-SA"/>
        </w:rPr>
        <w:t>vienpusēji</w:t>
      </w:r>
      <w:r w:rsidRPr="006265EA">
        <w:rPr>
          <w:rFonts w:eastAsia="Calibri" w:cs="Times New Roman"/>
          <w:color w:val="000000"/>
          <w:szCs w:val="24"/>
        </w:rPr>
        <w:t xml:space="preserve"> izbeigt šo līgumu pirms termiņa, par to rakstiski paziņojot otrai Pusei šādos gadījumos:</w:t>
      </w:r>
    </w:p>
    <w:p w:rsidR="006265EA" w:rsidRPr="006265EA" w:rsidRDefault="006265EA" w:rsidP="006265EA">
      <w:pPr>
        <w:numPr>
          <w:ilvl w:val="2"/>
          <w:numId w:val="1"/>
        </w:numPr>
        <w:tabs>
          <w:tab w:val="num" w:pos="567"/>
        </w:tabs>
        <w:suppressAutoHyphens/>
        <w:spacing w:after="0" w:line="240" w:lineRule="auto"/>
        <w:ind w:left="567" w:hanging="567"/>
        <w:jc w:val="both"/>
        <w:rPr>
          <w:rFonts w:eastAsia="Calibri" w:cs="Times New Roman"/>
          <w:color w:val="000000"/>
          <w:szCs w:val="24"/>
          <w:lang w:eastAsia="ar-SA"/>
        </w:rPr>
      </w:pPr>
      <w:r w:rsidRPr="006265EA">
        <w:rPr>
          <w:rFonts w:eastAsia="Calibri" w:cs="Times New Roman"/>
          <w:color w:val="000000"/>
          <w:szCs w:val="24"/>
        </w:rPr>
        <w:t>ja tiesā pret Izpildītāju ir iesniegts maksātnespējas procesa pieteikums;</w:t>
      </w:r>
    </w:p>
    <w:p w:rsidR="006265EA" w:rsidRPr="006265EA" w:rsidRDefault="006265EA" w:rsidP="006265EA">
      <w:pPr>
        <w:numPr>
          <w:ilvl w:val="2"/>
          <w:numId w:val="1"/>
        </w:numPr>
        <w:tabs>
          <w:tab w:val="num" w:pos="567"/>
        </w:tabs>
        <w:suppressAutoHyphens/>
        <w:spacing w:after="0" w:line="240" w:lineRule="auto"/>
        <w:ind w:left="567" w:hanging="567"/>
        <w:jc w:val="both"/>
        <w:rPr>
          <w:rFonts w:eastAsia="Calibri" w:cs="Times New Roman"/>
          <w:color w:val="000000"/>
          <w:szCs w:val="24"/>
          <w:lang w:eastAsia="ar-SA"/>
        </w:rPr>
      </w:pPr>
      <w:r w:rsidRPr="006265EA">
        <w:rPr>
          <w:rFonts w:eastAsia="Calibri" w:cs="Times New Roman"/>
          <w:color w:val="000000"/>
          <w:szCs w:val="24"/>
        </w:rPr>
        <w:t xml:space="preserve">ja ir apturēta vai izbeigta </w:t>
      </w:r>
      <w:r w:rsidRPr="006265EA">
        <w:rPr>
          <w:rFonts w:eastAsia="Calibri" w:cs="Times New Roman"/>
          <w:bCs/>
          <w:iCs/>
          <w:color w:val="000000"/>
          <w:szCs w:val="24"/>
        </w:rPr>
        <w:t>Izpildītāja</w:t>
      </w:r>
      <w:r w:rsidRPr="006265EA">
        <w:rPr>
          <w:rFonts w:eastAsia="Calibri" w:cs="Times New Roman"/>
          <w:color w:val="000000"/>
          <w:szCs w:val="24"/>
        </w:rPr>
        <w:t xml:space="preserve"> komercdarbība vai kāds no tās pamatvirzieniem, kā rezultātā var kļūt neiespējama šī līguma izpilde;</w:t>
      </w:r>
    </w:p>
    <w:p w:rsidR="006265EA" w:rsidRPr="006265EA" w:rsidRDefault="006265EA" w:rsidP="006265EA">
      <w:pPr>
        <w:numPr>
          <w:ilvl w:val="1"/>
          <w:numId w:val="1"/>
        </w:numPr>
        <w:tabs>
          <w:tab w:val="num" w:pos="567"/>
        </w:tabs>
        <w:suppressAutoHyphens/>
        <w:spacing w:after="0" w:line="240" w:lineRule="auto"/>
        <w:ind w:left="567" w:hanging="567"/>
        <w:jc w:val="both"/>
        <w:rPr>
          <w:rFonts w:eastAsia="Calibri" w:cs="Times New Roman"/>
          <w:color w:val="000000"/>
          <w:szCs w:val="24"/>
        </w:rPr>
      </w:pPr>
      <w:r w:rsidRPr="006265EA">
        <w:rPr>
          <w:rFonts w:eastAsia="Calibri" w:cs="Times New Roman"/>
          <w:color w:val="000000"/>
          <w:szCs w:val="24"/>
        </w:rPr>
        <w:t>ja šī līguma izpilde</w:t>
      </w:r>
      <w:r w:rsidRPr="006265EA">
        <w:rPr>
          <w:rFonts w:eastAsia="Calibri" w:cs="Times New Roman"/>
          <w:i/>
          <w:color w:val="000000"/>
          <w:szCs w:val="24"/>
        </w:rPr>
        <w:t xml:space="preserve"> </w:t>
      </w:r>
      <w:r w:rsidRPr="006265EA">
        <w:rPr>
          <w:rFonts w:eastAsia="Calibri" w:cs="Times New Roman"/>
          <w:color w:val="000000"/>
          <w:szCs w:val="24"/>
        </w:rPr>
        <w:t>kļūst neiespējama no Pasūtītāja neatkarīgu ārēju apstākļu, t.sk., valsts vai pašvaldības lēmumu rezultātā</w:t>
      </w:r>
      <w:r w:rsidRPr="006265EA">
        <w:rPr>
          <w:rFonts w:eastAsia="Calibri" w:cs="Times New Roman"/>
          <w:i/>
          <w:color w:val="000000"/>
          <w:szCs w:val="24"/>
        </w:rPr>
        <w:t>.</w:t>
      </w:r>
    </w:p>
    <w:p w:rsidR="006265EA" w:rsidRPr="006265EA" w:rsidRDefault="006265EA" w:rsidP="006265EA">
      <w:pPr>
        <w:numPr>
          <w:ilvl w:val="1"/>
          <w:numId w:val="1"/>
        </w:numPr>
        <w:tabs>
          <w:tab w:val="num" w:pos="567"/>
        </w:tabs>
        <w:suppressAutoHyphens/>
        <w:spacing w:after="0" w:line="240" w:lineRule="auto"/>
        <w:ind w:left="567" w:hanging="567"/>
        <w:jc w:val="both"/>
        <w:rPr>
          <w:rFonts w:eastAsia="Calibri" w:cs="Times New Roman"/>
          <w:color w:val="000000"/>
          <w:szCs w:val="24"/>
        </w:rPr>
      </w:pPr>
      <w:r w:rsidRPr="006265EA">
        <w:rPr>
          <w:rFonts w:eastAsia="Calibri" w:cs="Times New Roman"/>
          <w:color w:val="000000"/>
          <w:szCs w:val="24"/>
        </w:rPr>
        <w:t xml:space="preserve">Šī līguma izbeigšana pirms termiņa neatbrīvo Puses no pienākuma izpildīt maksājumu saistības. </w:t>
      </w:r>
    </w:p>
    <w:p w:rsidR="006265EA" w:rsidRPr="006265EA" w:rsidRDefault="006265EA" w:rsidP="006265EA">
      <w:pPr>
        <w:suppressAutoHyphens/>
        <w:spacing w:after="0" w:line="240" w:lineRule="auto"/>
        <w:ind w:left="567"/>
        <w:jc w:val="both"/>
        <w:rPr>
          <w:rFonts w:eastAsia="Calibri" w:cs="Times New Roman"/>
          <w:color w:val="000000"/>
          <w:szCs w:val="24"/>
        </w:rPr>
      </w:pPr>
    </w:p>
    <w:p w:rsidR="006265EA" w:rsidRPr="006265EA" w:rsidRDefault="006265EA" w:rsidP="006265EA">
      <w:pPr>
        <w:numPr>
          <w:ilvl w:val="0"/>
          <w:numId w:val="1"/>
        </w:numPr>
        <w:spacing w:before="120"/>
        <w:jc w:val="center"/>
        <w:rPr>
          <w:rFonts w:eastAsia="Calibri" w:cs="Times New Roman"/>
          <w:b/>
          <w:bCs/>
          <w:szCs w:val="24"/>
        </w:rPr>
      </w:pPr>
      <w:r w:rsidRPr="006265EA">
        <w:rPr>
          <w:rFonts w:eastAsia="Calibri" w:cs="Times New Roman"/>
          <w:b/>
          <w:bCs/>
          <w:szCs w:val="24"/>
        </w:rPr>
        <w:t>Strīdu izšķiršanas kārtība</w:t>
      </w:r>
    </w:p>
    <w:p w:rsidR="006265EA" w:rsidRPr="006265EA" w:rsidRDefault="006265EA" w:rsidP="006265EA">
      <w:pPr>
        <w:tabs>
          <w:tab w:val="num" w:pos="57"/>
        </w:tabs>
        <w:spacing w:before="120" w:after="0" w:line="240" w:lineRule="auto"/>
        <w:jc w:val="both"/>
        <w:rPr>
          <w:rFonts w:eastAsia="Times New Roman" w:cs="Times New Roman"/>
          <w:szCs w:val="24"/>
        </w:rPr>
      </w:pPr>
      <w:r w:rsidRPr="006265EA">
        <w:rPr>
          <w:rFonts w:eastAsia="Times New Roman" w:cs="Times New Roman"/>
          <w:color w:val="000000"/>
          <w:spacing w:val="2"/>
          <w:szCs w:val="24"/>
        </w:rPr>
        <w:t>Visus ar līgumu saistītos strīdus un domstarpības Puses risina sarunu ceļā, bet, j</w:t>
      </w:r>
      <w:r w:rsidRPr="006265EA">
        <w:rPr>
          <w:rFonts w:eastAsia="Times New Roman" w:cs="Times New Roman"/>
          <w:szCs w:val="24"/>
        </w:rPr>
        <w:t>a radušos strīdus un domstarpības neizdodas atrisināt sarunu ceļā 30 (trīsdesmit) dienu laikā, Puses tos risina tiesā saskaņā ar normatīvajiem aktiem.</w:t>
      </w:r>
    </w:p>
    <w:p w:rsidR="006265EA" w:rsidRPr="006265EA" w:rsidRDefault="006265EA" w:rsidP="006265EA">
      <w:pPr>
        <w:suppressAutoHyphens/>
        <w:spacing w:before="120" w:after="0" w:line="240" w:lineRule="auto"/>
        <w:rPr>
          <w:rFonts w:eastAsia="Calibri" w:cs="Times New Roman"/>
          <w:szCs w:val="24"/>
          <w:lang w:eastAsia="ar-SA"/>
        </w:rPr>
      </w:pPr>
    </w:p>
    <w:p w:rsidR="006265EA" w:rsidRPr="006265EA"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szCs w:val="24"/>
          <w:lang w:eastAsia="ar-SA"/>
        </w:rPr>
        <w:t>Citi noteikumi</w:t>
      </w:r>
    </w:p>
    <w:p w:rsidR="006265EA" w:rsidRPr="006265EA" w:rsidRDefault="006265EA" w:rsidP="003E5BB6">
      <w:pPr>
        <w:numPr>
          <w:ilvl w:val="1"/>
          <w:numId w:val="1"/>
        </w:numPr>
        <w:tabs>
          <w:tab w:val="left" w:pos="540"/>
        </w:tabs>
        <w:suppressAutoHyphens/>
        <w:spacing w:after="0" w:line="240" w:lineRule="auto"/>
        <w:jc w:val="both"/>
        <w:rPr>
          <w:rFonts w:eastAsia="Calibri" w:cs="Times New Roman"/>
          <w:szCs w:val="24"/>
        </w:rPr>
      </w:pPr>
      <w:r w:rsidRPr="006265EA">
        <w:rPr>
          <w:rFonts w:eastAsia="Calibri" w:cs="Times New Roman"/>
          <w:szCs w:val="24"/>
        </w:rPr>
        <w:t>Šī līguma noteikumu izpildes kontrolei – Puses pilnvaro šādus pārstāvjus:</w:t>
      </w:r>
    </w:p>
    <w:p w:rsidR="006265EA" w:rsidRPr="005F16C0" w:rsidRDefault="006265EA" w:rsidP="003E5BB6">
      <w:pPr>
        <w:numPr>
          <w:ilvl w:val="2"/>
          <w:numId w:val="1"/>
        </w:numPr>
        <w:tabs>
          <w:tab w:val="left" w:pos="540"/>
          <w:tab w:val="num" w:pos="1440"/>
        </w:tabs>
        <w:suppressAutoHyphens/>
        <w:spacing w:after="0" w:line="240" w:lineRule="auto"/>
        <w:ind w:hanging="180"/>
        <w:jc w:val="both"/>
        <w:rPr>
          <w:rFonts w:eastAsia="Calibri" w:cs="Times New Roman"/>
          <w:szCs w:val="24"/>
        </w:rPr>
      </w:pPr>
      <w:r w:rsidRPr="005F16C0">
        <w:rPr>
          <w:rFonts w:eastAsia="Calibri" w:cs="Times New Roman"/>
          <w:szCs w:val="24"/>
        </w:rPr>
        <w:t xml:space="preserve">no Izpildītāja puses </w:t>
      </w:r>
      <w:r w:rsidR="00110BF3" w:rsidRPr="005F16C0">
        <w:rPr>
          <w:rFonts w:eastAsia="Calibri" w:cs="Times New Roman"/>
          <w:szCs w:val="24"/>
        </w:rPr>
        <w:t>–</w:t>
      </w:r>
      <w:r w:rsidRPr="005F16C0">
        <w:rPr>
          <w:rFonts w:eastAsia="Calibri" w:cs="Times New Roman"/>
          <w:szCs w:val="24"/>
        </w:rPr>
        <w:t xml:space="preserve"> </w:t>
      </w:r>
      <w:r w:rsidR="005F16C0" w:rsidRPr="005F16C0">
        <w:rPr>
          <w:rFonts w:eastAsia="Calibri" w:cs="Times New Roman"/>
          <w:szCs w:val="24"/>
        </w:rPr>
        <w:t>Dina Upeniece</w:t>
      </w:r>
      <w:r w:rsidR="008C4EED" w:rsidRPr="005F16C0">
        <w:rPr>
          <w:rFonts w:eastAsia="Calibri" w:cs="Times New Roman"/>
          <w:szCs w:val="24"/>
        </w:rPr>
        <w:t xml:space="preserve">, tālrunis </w:t>
      </w:r>
      <w:r w:rsidR="005F16C0" w:rsidRPr="005F16C0">
        <w:rPr>
          <w:rFonts w:eastAsia="Calibri" w:cs="Times New Roman"/>
          <w:szCs w:val="24"/>
        </w:rPr>
        <w:t>26590664;</w:t>
      </w:r>
    </w:p>
    <w:p w:rsidR="006265EA" w:rsidRPr="005F16C0" w:rsidRDefault="006265EA" w:rsidP="003E5BB6">
      <w:pPr>
        <w:numPr>
          <w:ilvl w:val="2"/>
          <w:numId w:val="1"/>
        </w:numPr>
        <w:tabs>
          <w:tab w:val="left" w:pos="540"/>
          <w:tab w:val="num" w:pos="1440"/>
        </w:tabs>
        <w:suppressAutoHyphens/>
        <w:spacing w:after="0" w:line="240" w:lineRule="auto"/>
        <w:ind w:hanging="180"/>
        <w:jc w:val="both"/>
        <w:rPr>
          <w:rFonts w:eastAsia="Calibri" w:cs="Times New Roman"/>
          <w:szCs w:val="24"/>
        </w:rPr>
      </w:pPr>
      <w:r w:rsidRPr="005F16C0">
        <w:rPr>
          <w:rFonts w:eastAsia="Calibri" w:cs="Times New Roman"/>
          <w:szCs w:val="24"/>
        </w:rPr>
        <w:t xml:space="preserve">no Pasūtītāja puses </w:t>
      </w:r>
      <w:r w:rsidR="00ED2B8F" w:rsidRPr="005F16C0">
        <w:rPr>
          <w:rFonts w:eastAsia="Calibri" w:cs="Times New Roman"/>
          <w:szCs w:val="24"/>
        </w:rPr>
        <w:t>–</w:t>
      </w:r>
      <w:r w:rsidRPr="005F16C0">
        <w:rPr>
          <w:rFonts w:eastAsia="Calibri" w:cs="Times New Roman"/>
          <w:szCs w:val="24"/>
        </w:rPr>
        <w:t xml:space="preserve"> </w:t>
      </w:r>
      <w:proofErr w:type="spellStart"/>
      <w:r w:rsidR="005F16C0" w:rsidRPr="005F16C0">
        <w:rPr>
          <w:rFonts w:eastAsia="Calibri" w:cs="Times New Roman"/>
          <w:szCs w:val="24"/>
        </w:rPr>
        <w:t>Maija.Neilande</w:t>
      </w:r>
      <w:proofErr w:type="spellEnd"/>
      <w:r w:rsidR="00ED2B8F" w:rsidRPr="005F16C0">
        <w:rPr>
          <w:rFonts w:eastAsia="Calibri" w:cs="Times New Roman"/>
          <w:szCs w:val="24"/>
        </w:rPr>
        <w:t xml:space="preserve">, tālrunis </w:t>
      </w:r>
      <w:r w:rsidR="005F16C0" w:rsidRPr="005F16C0">
        <w:rPr>
          <w:rFonts w:eastAsia="Calibri" w:cs="Times New Roman"/>
          <w:szCs w:val="24"/>
        </w:rPr>
        <w:t>29477204</w:t>
      </w:r>
      <w:r w:rsidR="00ED2B8F" w:rsidRPr="005F16C0">
        <w:rPr>
          <w:rFonts w:eastAsia="Calibri" w:cs="Times New Roman"/>
          <w:szCs w:val="24"/>
        </w:rPr>
        <w:t xml:space="preserve">, e-pasts: </w:t>
      </w:r>
      <w:proofErr w:type="spellStart"/>
      <w:r w:rsidR="005F16C0" w:rsidRPr="005F16C0">
        <w:rPr>
          <w:rFonts w:eastAsia="Calibri" w:cs="Times New Roman"/>
          <w:szCs w:val="24"/>
        </w:rPr>
        <w:t>jbsac.@inbox.lv</w:t>
      </w:r>
      <w:proofErr w:type="spellEnd"/>
      <w:r w:rsidR="005F16C0">
        <w:rPr>
          <w:rFonts w:eastAsia="Calibri" w:cs="Times New Roman"/>
          <w:szCs w:val="24"/>
        </w:rPr>
        <w:t>.</w:t>
      </w:r>
    </w:p>
    <w:p w:rsidR="006265EA" w:rsidRPr="006265EA" w:rsidRDefault="006265EA" w:rsidP="003E5BB6">
      <w:pPr>
        <w:numPr>
          <w:ilvl w:val="1"/>
          <w:numId w:val="1"/>
        </w:numPr>
        <w:tabs>
          <w:tab w:val="num" w:pos="540"/>
        </w:tabs>
        <w:suppressAutoHyphens/>
        <w:spacing w:after="0" w:line="240" w:lineRule="auto"/>
        <w:jc w:val="both"/>
        <w:rPr>
          <w:rFonts w:eastAsia="Calibri" w:cs="Times New Roman"/>
          <w:b/>
          <w:bCs/>
          <w:szCs w:val="24"/>
          <w:lang w:eastAsia="ar-SA"/>
        </w:rPr>
      </w:pPr>
      <w:r w:rsidRPr="006265EA">
        <w:rPr>
          <w:rFonts w:eastAsia="Calibri" w:cs="Times New Roman"/>
          <w:szCs w:val="24"/>
        </w:rPr>
        <w:t>Visi šī līguma pielikumi ir neatņemama tā sastāvdaļa. Līgumam ir šādi pielikumi:</w:t>
      </w:r>
    </w:p>
    <w:p w:rsidR="006265EA" w:rsidRPr="006265EA" w:rsidRDefault="006265EA" w:rsidP="003E5BB6">
      <w:pPr>
        <w:numPr>
          <w:ilvl w:val="2"/>
          <w:numId w:val="1"/>
        </w:numPr>
        <w:suppressAutoHyphens/>
        <w:spacing w:after="0" w:line="240" w:lineRule="auto"/>
        <w:ind w:hanging="180"/>
        <w:jc w:val="both"/>
        <w:rPr>
          <w:rFonts w:eastAsia="Calibri" w:cs="Times New Roman"/>
          <w:b/>
          <w:bCs/>
          <w:szCs w:val="24"/>
          <w:lang w:eastAsia="ar-SA"/>
        </w:rPr>
      </w:pPr>
      <w:r w:rsidRPr="006265EA">
        <w:rPr>
          <w:rFonts w:eastAsia="Calibri" w:cs="Times New Roman"/>
          <w:color w:val="000000"/>
          <w:szCs w:val="24"/>
          <w:lang w:eastAsia="ar-SA"/>
        </w:rPr>
        <w:t>1.pielikums –Tehniskā specifikācija;</w:t>
      </w:r>
    </w:p>
    <w:p w:rsidR="006265EA" w:rsidRPr="006265EA" w:rsidRDefault="006265EA" w:rsidP="003E5BB6">
      <w:pPr>
        <w:numPr>
          <w:ilvl w:val="2"/>
          <w:numId w:val="1"/>
        </w:numPr>
        <w:suppressAutoHyphens/>
        <w:spacing w:after="0" w:line="240" w:lineRule="auto"/>
        <w:ind w:hanging="180"/>
        <w:jc w:val="both"/>
        <w:rPr>
          <w:rFonts w:eastAsia="Calibri" w:cs="Times New Roman"/>
          <w:b/>
          <w:bCs/>
          <w:szCs w:val="24"/>
          <w:lang w:eastAsia="ar-SA"/>
        </w:rPr>
      </w:pPr>
      <w:r w:rsidRPr="006265EA">
        <w:rPr>
          <w:rFonts w:eastAsia="Calibri" w:cs="Times New Roman"/>
          <w:color w:val="000000"/>
          <w:szCs w:val="24"/>
          <w:lang w:eastAsia="ar-SA"/>
        </w:rPr>
        <w:t>2.pielikums – Tehniskais piedāvājums.</w:t>
      </w:r>
    </w:p>
    <w:p w:rsidR="006265EA" w:rsidRPr="006265EA" w:rsidRDefault="006265EA" w:rsidP="003E5BB6">
      <w:pPr>
        <w:numPr>
          <w:ilvl w:val="1"/>
          <w:numId w:val="1"/>
        </w:numPr>
        <w:tabs>
          <w:tab w:val="num" w:pos="540"/>
        </w:tabs>
        <w:suppressAutoHyphens/>
        <w:spacing w:after="0" w:line="240" w:lineRule="auto"/>
        <w:ind w:left="540" w:hanging="540"/>
        <w:jc w:val="both"/>
        <w:rPr>
          <w:rFonts w:eastAsia="Calibri" w:cs="Times New Roman"/>
          <w:b/>
          <w:bCs/>
          <w:szCs w:val="24"/>
          <w:lang w:eastAsia="ar-SA"/>
        </w:rPr>
      </w:pPr>
      <w:r w:rsidRPr="006265EA">
        <w:rPr>
          <w:rFonts w:eastAsia="Calibri" w:cs="Times New Roman"/>
          <w:szCs w:val="24"/>
        </w:rPr>
        <w:lastRenderedPageBreak/>
        <w:t xml:space="preserve">Līgums sagatavots 2 (divos) eksemplāros uz </w:t>
      </w:r>
      <w:r w:rsidR="00F91986">
        <w:rPr>
          <w:rFonts w:eastAsia="Calibri" w:cs="Times New Roman"/>
          <w:szCs w:val="24"/>
        </w:rPr>
        <w:t>6</w:t>
      </w:r>
      <w:r w:rsidRPr="006265EA">
        <w:rPr>
          <w:rFonts w:eastAsia="Calibri" w:cs="Times New Roman"/>
          <w:szCs w:val="24"/>
        </w:rPr>
        <w:t xml:space="preserve"> (</w:t>
      </w:r>
      <w:r w:rsidR="00F91986">
        <w:rPr>
          <w:rFonts w:eastAsia="Calibri" w:cs="Times New Roman"/>
          <w:szCs w:val="24"/>
        </w:rPr>
        <w:t>sešām</w:t>
      </w:r>
      <w:r w:rsidRPr="006265EA">
        <w:rPr>
          <w:rFonts w:eastAsia="Calibri" w:cs="Times New Roman"/>
          <w:szCs w:val="24"/>
        </w:rPr>
        <w:t>) lapām, un tiem ir vienāds juridisks spēks. Pie katras no Pusēm atrodas viens līguma eksemplārs.</w:t>
      </w:r>
    </w:p>
    <w:p w:rsidR="006265EA" w:rsidRPr="006265EA" w:rsidRDefault="006265EA" w:rsidP="006265EA">
      <w:pPr>
        <w:suppressAutoHyphens/>
        <w:spacing w:before="120" w:after="0" w:line="240" w:lineRule="auto"/>
        <w:jc w:val="both"/>
        <w:rPr>
          <w:rFonts w:eastAsia="Calibri" w:cs="Times New Roman"/>
          <w:b/>
          <w:bCs/>
          <w:szCs w:val="24"/>
          <w:lang w:eastAsia="ar-SA"/>
        </w:rPr>
      </w:pPr>
    </w:p>
    <w:p w:rsidR="006265EA" w:rsidRPr="00827838" w:rsidRDefault="006265EA" w:rsidP="006265EA">
      <w:pPr>
        <w:numPr>
          <w:ilvl w:val="0"/>
          <w:numId w:val="1"/>
        </w:numPr>
        <w:suppressAutoHyphens/>
        <w:spacing w:before="120" w:after="0" w:line="240" w:lineRule="auto"/>
        <w:jc w:val="center"/>
        <w:rPr>
          <w:rFonts w:eastAsia="Calibri" w:cs="Times New Roman"/>
          <w:b/>
          <w:bCs/>
          <w:szCs w:val="24"/>
          <w:lang w:eastAsia="ar-SA"/>
        </w:rPr>
      </w:pPr>
      <w:r w:rsidRPr="006265EA">
        <w:rPr>
          <w:rFonts w:eastAsia="Calibri" w:cs="Times New Roman"/>
          <w:b/>
          <w:bCs/>
          <w:color w:val="000000"/>
          <w:szCs w:val="24"/>
          <w:lang w:eastAsia="ar-SA"/>
        </w:rPr>
        <w:t>Pušu rekvizīti un paraksti</w:t>
      </w:r>
    </w:p>
    <w:p w:rsidR="00827838" w:rsidRDefault="00827838" w:rsidP="00827838">
      <w:pPr>
        <w:suppressAutoHyphens/>
        <w:spacing w:before="120" w:after="0" w:line="240" w:lineRule="auto"/>
        <w:jc w:val="center"/>
        <w:rPr>
          <w:rFonts w:eastAsia="Calibri" w:cs="Times New Roman"/>
          <w:b/>
          <w:bCs/>
          <w:color w:val="000000"/>
          <w:szCs w:val="24"/>
          <w:lang w:eastAsia="ar-SA"/>
        </w:rPr>
      </w:pPr>
    </w:p>
    <w:tbl>
      <w:tblPr>
        <w:tblW w:w="9930" w:type="dxa"/>
        <w:jc w:val="center"/>
        <w:tblInd w:w="-318" w:type="dxa"/>
        <w:tblLayout w:type="fixed"/>
        <w:tblLook w:val="04A0" w:firstRow="1" w:lastRow="0" w:firstColumn="1" w:lastColumn="0" w:noHBand="0" w:noVBand="1"/>
      </w:tblPr>
      <w:tblGrid>
        <w:gridCol w:w="5249"/>
        <w:gridCol w:w="4681"/>
      </w:tblGrid>
      <w:tr w:rsidR="00827838" w:rsidRPr="00827838" w:rsidTr="005B4DF7">
        <w:trPr>
          <w:trHeight w:val="294"/>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MAKSĀTĀJS:</w:t>
            </w:r>
          </w:p>
        </w:tc>
        <w:tc>
          <w:tcPr>
            <w:tcW w:w="4681" w:type="dxa"/>
          </w:tcPr>
          <w:p w:rsidR="00827838" w:rsidRPr="00827838" w:rsidRDefault="00827838" w:rsidP="00827838">
            <w:pPr>
              <w:suppressAutoHyphens/>
              <w:spacing w:before="120" w:after="0" w:line="240" w:lineRule="auto"/>
              <w:rPr>
                <w:rFonts w:eastAsia="Calibri" w:cs="Times New Roman"/>
                <w:b/>
                <w:bCs/>
                <w:color w:val="000000"/>
                <w:szCs w:val="24"/>
                <w:lang w:eastAsia="ar-SA"/>
              </w:rPr>
            </w:pPr>
            <w:r>
              <w:rPr>
                <w:rFonts w:eastAsia="Calibri" w:cs="Times New Roman"/>
                <w:b/>
                <w:bCs/>
                <w:color w:val="000000"/>
                <w:szCs w:val="24"/>
                <w:lang w:eastAsia="ar-SA"/>
              </w:rPr>
              <w:t>IZPILDĪTĀJS</w:t>
            </w:r>
          </w:p>
        </w:tc>
      </w:tr>
      <w:tr w:rsidR="00827838" w:rsidRPr="00827838" w:rsidTr="005B4DF7">
        <w:trPr>
          <w:trHeight w:val="294"/>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 xml:space="preserve">Jelgavas pilsētas pašvaldības iestāde </w:t>
            </w:r>
          </w:p>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„Jelgavas sociālo lietu pārvalde”</w:t>
            </w:r>
          </w:p>
        </w:tc>
        <w:tc>
          <w:tcPr>
            <w:tcW w:w="4681" w:type="dxa"/>
            <w:hideMark/>
          </w:tcPr>
          <w:p w:rsidR="00827838" w:rsidRPr="00827838" w:rsidRDefault="00827838" w:rsidP="00827838">
            <w:pPr>
              <w:suppressAutoHyphens/>
              <w:spacing w:before="120" w:after="0" w:line="240" w:lineRule="auto"/>
              <w:rPr>
                <w:rFonts w:eastAsia="Calibri" w:cs="Times New Roman"/>
                <w:b/>
                <w:bCs/>
                <w:color w:val="000000"/>
                <w:szCs w:val="24"/>
                <w:lang w:eastAsia="ar-SA"/>
              </w:rPr>
            </w:pPr>
            <w:r w:rsidRPr="00827838">
              <w:rPr>
                <w:rFonts w:eastAsia="Calibri" w:cs="Times New Roman"/>
                <w:b/>
                <w:bCs/>
                <w:color w:val="000000"/>
                <w:szCs w:val="24"/>
                <w:lang w:eastAsia="ar-SA"/>
              </w:rPr>
              <w:t>SIA ”</w:t>
            </w:r>
            <w:proofErr w:type="spellStart"/>
            <w:r w:rsidRPr="00827838">
              <w:rPr>
                <w:rFonts w:eastAsia="Calibri" w:cs="Times New Roman"/>
                <w:b/>
                <w:bCs/>
                <w:color w:val="000000"/>
                <w:szCs w:val="24"/>
                <w:lang w:eastAsia="ar-SA"/>
              </w:rPr>
              <w:t>Fama</w:t>
            </w:r>
            <w:proofErr w:type="spellEnd"/>
            <w:r w:rsidRPr="00827838">
              <w:rPr>
                <w:rFonts w:eastAsia="Calibri" w:cs="Times New Roman"/>
                <w:b/>
                <w:bCs/>
                <w:color w:val="000000"/>
                <w:szCs w:val="24"/>
                <w:lang w:eastAsia="ar-SA"/>
              </w:rPr>
              <w:t>”</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Pulkveža Oskara Kalpaka ielā 9, Jelgava, LV-3001</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Reģ</w:t>
            </w:r>
            <w:r>
              <w:rPr>
                <w:rFonts w:eastAsia="Calibri" w:cs="Times New Roman"/>
                <w:bCs/>
                <w:color w:val="000000"/>
                <w:szCs w:val="24"/>
                <w:lang w:eastAsia="ar-SA"/>
              </w:rPr>
              <w:t xml:space="preserve">. Nr. </w:t>
            </w:r>
            <w:r w:rsidRPr="00827838">
              <w:rPr>
                <w:rFonts w:eastAsia="Calibri" w:cs="Times New Roman"/>
                <w:bCs/>
                <w:color w:val="000000"/>
                <w:szCs w:val="24"/>
                <w:lang w:eastAsia="ar-SA"/>
              </w:rPr>
              <w:t>43602010846</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Reģ. Nr. 90001042284</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Juridiskā adr</w:t>
            </w:r>
            <w:r>
              <w:rPr>
                <w:rFonts w:eastAsia="Calibri" w:cs="Times New Roman"/>
                <w:bCs/>
                <w:color w:val="000000"/>
                <w:szCs w:val="24"/>
                <w:lang w:eastAsia="ar-SA"/>
              </w:rPr>
              <w:t xml:space="preserve">ese: </w:t>
            </w:r>
            <w:r w:rsidRPr="00827838">
              <w:rPr>
                <w:rFonts w:eastAsia="Calibri" w:cs="Times New Roman"/>
                <w:bCs/>
                <w:color w:val="000000"/>
                <w:szCs w:val="24"/>
                <w:lang w:eastAsia="ar-SA"/>
              </w:rPr>
              <w:t>”</w:t>
            </w:r>
            <w:proofErr w:type="spellStart"/>
            <w:r w:rsidRPr="00827838">
              <w:rPr>
                <w:rFonts w:eastAsia="Calibri" w:cs="Times New Roman"/>
                <w:bCs/>
                <w:color w:val="000000"/>
                <w:szCs w:val="24"/>
                <w:lang w:eastAsia="ar-SA"/>
              </w:rPr>
              <w:t>Kuzma</w:t>
            </w:r>
            <w:proofErr w:type="spellEnd"/>
            <w:r w:rsidRPr="00827838">
              <w:rPr>
                <w:rFonts w:eastAsia="Calibri" w:cs="Times New Roman"/>
                <w:bCs/>
                <w:color w:val="000000"/>
                <w:szCs w:val="24"/>
                <w:lang w:eastAsia="ar-SA"/>
              </w:rPr>
              <w:t xml:space="preserve"> Brakšķi”</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 xml:space="preserve">PASŪTĪTĀJS: </w:t>
            </w:r>
            <w:r w:rsidRPr="00827838">
              <w:rPr>
                <w:rFonts w:eastAsia="Calibri" w:cs="Times New Roman"/>
                <w:b/>
                <w:bCs/>
                <w:color w:val="000000"/>
                <w:szCs w:val="24"/>
                <w:lang w:eastAsia="ar-SA"/>
              </w:rPr>
              <w:t>Jelgava</w:t>
            </w:r>
            <w:r>
              <w:rPr>
                <w:rFonts w:eastAsia="Calibri" w:cs="Times New Roman"/>
                <w:b/>
                <w:bCs/>
                <w:color w:val="000000"/>
                <w:szCs w:val="24"/>
                <w:lang w:eastAsia="ar-SA"/>
              </w:rPr>
              <w:t>s pilsētas pašvaldības iestāde ”</w:t>
            </w:r>
            <w:r w:rsidRPr="00827838">
              <w:rPr>
                <w:rFonts w:eastAsia="Calibri" w:cs="Times New Roman"/>
                <w:b/>
                <w:bCs/>
                <w:color w:val="000000"/>
                <w:szCs w:val="24"/>
                <w:lang w:eastAsia="ar-SA"/>
              </w:rPr>
              <w:t>Jelgavas bērnu sociālās aprūpes centrs”</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Pr>
                <w:rFonts w:eastAsia="Calibri" w:cs="Times New Roman"/>
                <w:bCs/>
                <w:color w:val="000000"/>
                <w:szCs w:val="24"/>
                <w:lang w:eastAsia="ar-SA"/>
              </w:rPr>
              <w:t>Līvbērzes pag., Jelgavas novads, LV-3014</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Zirgu iela 47a, Jelgava, LV-3001</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Tālrunis: ____________________</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Reģ. Nr. 90000418861</w:t>
            </w:r>
          </w:p>
        </w:tc>
        <w:tc>
          <w:tcPr>
            <w:tcW w:w="4681" w:type="dxa"/>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Fakss: _______________</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Banka: AS „SEB banka”</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Banka: ________________</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Bankas kods: UNLALV 2X</w:t>
            </w: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Bankas kods: _____________________</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Konta Nr.: LV 46 UNLA 00 5 0000111282</w:t>
            </w:r>
          </w:p>
          <w:p w:rsidR="00827838" w:rsidRPr="00827838" w:rsidRDefault="00827838" w:rsidP="00827838">
            <w:pPr>
              <w:suppressAutoHyphens/>
              <w:spacing w:before="120" w:after="0" w:line="240" w:lineRule="auto"/>
              <w:rPr>
                <w:rFonts w:eastAsia="Calibri" w:cs="Times New Roman"/>
                <w:bCs/>
                <w:color w:val="000000"/>
                <w:szCs w:val="24"/>
                <w:lang w:eastAsia="ar-SA"/>
              </w:rPr>
            </w:pPr>
          </w:p>
          <w:p w:rsidR="00827838" w:rsidRPr="00827838" w:rsidRDefault="00827838" w:rsidP="00827838">
            <w:pPr>
              <w:suppressAutoHyphens/>
              <w:spacing w:before="120" w:after="0" w:line="240" w:lineRule="auto"/>
              <w:rPr>
                <w:rFonts w:eastAsia="Calibri" w:cs="Times New Roman"/>
                <w:bCs/>
                <w:color w:val="000000"/>
                <w:szCs w:val="24"/>
                <w:lang w:eastAsia="ar-SA"/>
              </w:rPr>
            </w:pPr>
          </w:p>
        </w:tc>
        <w:tc>
          <w:tcPr>
            <w:tcW w:w="4681" w:type="dxa"/>
            <w:hideMark/>
          </w:tcPr>
          <w:p w:rsidR="00827838" w:rsidRPr="00827838" w:rsidRDefault="00827838" w:rsidP="00827838">
            <w:pPr>
              <w:suppressAutoHyphens/>
              <w:spacing w:before="120" w:after="0" w:line="240" w:lineRule="auto"/>
              <w:rPr>
                <w:rFonts w:eastAsia="Calibri" w:cs="Times New Roman"/>
                <w:bCs/>
                <w:color w:val="000000"/>
                <w:szCs w:val="24"/>
                <w:lang w:eastAsia="ar-SA"/>
              </w:rPr>
            </w:pPr>
            <w:r w:rsidRPr="00827838">
              <w:rPr>
                <w:rFonts w:eastAsia="Calibri" w:cs="Times New Roman"/>
                <w:bCs/>
                <w:color w:val="000000"/>
                <w:szCs w:val="24"/>
                <w:lang w:eastAsia="ar-SA"/>
              </w:rPr>
              <w:t xml:space="preserve">Konta </w:t>
            </w:r>
            <w:proofErr w:type="spellStart"/>
            <w:r w:rsidRPr="00827838">
              <w:rPr>
                <w:rFonts w:eastAsia="Calibri" w:cs="Times New Roman"/>
                <w:bCs/>
                <w:color w:val="000000"/>
                <w:szCs w:val="24"/>
                <w:lang w:eastAsia="ar-SA"/>
              </w:rPr>
              <w:t>Nr</w:t>
            </w:r>
            <w:proofErr w:type="spellEnd"/>
            <w:r w:rsidRPr="00827838">
              <w:rPr>
                <w:rFonts w:eastAsia="Calibri" w:cs="Times New Roman"/>
                <w:bCs/>
                <w:color w:val="000000"/>
                <w:szCs w:val="24"/>
                <w:lang w:eastAsia="ar-SA"/>
              </w:rPr>
              <w:t>: __________________________</w:t>
            </w:r>
          </w:p>
        </w:tc>
      </w:tr>
      <w:tr w:rsidR="00827838" w:rsidRPr="00827838" w:rsidTr="005B4DF7">
        <w:trPr>
          <w:jc w:val="center"/>
        </w:trPr>
        <w:tc>
          <w:tcPr>
            <w:tcW w:w="5249" w:type="dxa"/>
            <w:hideMark/>
          </w:tcPr>
          <w:p w:rsidR="00827838" w:rsidRPr="00827838" w:rsidRDefault="00827838" w:rsidP="00827838">
            <w:pPr>
              <w:suppressAutoHyphens/>
              <w:spacing w:before="120" w:after="0" w:line="240" w:lineRule="auto"/>
              <w:jc w:val="center"/>
              <w:rPr>
                <w:rFonts w:eastAsia="Calibri" w:cs="Times New Roman"/>
                <w:b/>
                <w:bCs/>
                <w:color w:val="000000"/>
                <w:szCs w:val="24"/>
                <w:lang w:eastAsia="ar-SA"/>
              </w:rPr>
            </w:pPr>
            <w:r w:rsidRPr="00827838">
              <w:rPr>
                <w:rFonts w:eastAsia="Calibri" w:cs="Times New Roman"/>
                <w:b/>
                <w:bCs/>
                <w:color w:val="000000"/>
                <w:szCs w:val="24"/>
                <w:lang w:eastAsia="ar-SA"/>
              </w:rPr>
              <w:t>_______________________________________</w:t>
            </w:r>
          </w:p>
        </w:tc>
        <w:tc>
          <w:tcPr>
            <w:tcW w:w="4681" w:type="dxa"/>
            <w:hideMark/>
          </w:tcPr>
          <w:p w:rsidR="00827838" w:rsidRPr="00827838" w:rsidRDefault="00827838" w:rsidP="00827838">
            <w:pPr>
              <w:suppressAutoHyphens/>
              <w:spacing w:before="120" w:after="0" w:line="240" w:lineRule="auto"/>
              <w:jc w:val="center"/>
              <w:rPr>
                <w:rFonts w:eastAsia="Calibri" w:cs="Times New Roman"/>
                <w:b/>
                <w:bCs/>
                <w:color w:val="000000"/>
                <w:szCs w:val="24"/>
                <w:lang w:eastAsia="ar-SA"/>
              </w:rPr>
            </w:pPr>
            <w:r w:rsidRPr="00827838">
              <w:rPr>
                <w:rFonts w:eastAsia="Calibri" w:cs="Times New Roman"/>
                <w:b/>
                <w:bCs/>
                <w:color w:val="000000"/>
                <w:szCs w:val="24"/>
                <w:lang w:eastAsia="ar-SA"/>
              </w:rPr>
              <w:t>_____________________________________</w:t>
            </w:r>
          </w:p>
        </w:tc>
      </w:tr>
      <w:tr w:rsidR="00827838" w:rsidRPr="00827838" w:rsidTr="005F16C0">
        <w:trPr>
          <w:trHeight w:val="518"/>
          <w:jc w:val="center"/>
        </w:trPr>
        <w:tc>
          <w:tcPr>
            <w:tcW w:w="5249" w:type="dxa"/>
            <w:hideMark/>
          </w:tcPr>
          <w:p w:rsidR="00827838" w:rsidRPr="00827838" w:rsidRDefault="00827838" w:rsidP="00827838">
            <w:pPr>
              <w:suppressAutoHyphens/>
              <w:spacing w:before="120" w:after="0" w:line="240" w:lineRule="auto"/>
              <w:jc w:val="center"/>
              <w:rPr>
                <w:rFonts w:eastAsia="Calibri" w:cs="Times New Roman"/>
                <w:bCs/>
                <w:color w:val="000000"/>
                <w:szCs w:val="24"/>
                <w:lang w:eastAsia="ar-SA"/>
              </w:rPr>
            </w:pPr>
            <w:r w:rsidRPr="00827838">
              <w:rPr>
                <w:rFonts w:eastAsia="Calibri" w:cs="Times New Roman"/>
                <w:bCs/>
                <w:color w:val="000000"/>
                <w:szCs w:val="24"/>
                <w:lang w:eastAsia="ar-SA"/>
              </w:rPr>
              <w:t>/M.Neilande/</w:t>
            </w:r>
          </w:p>
        </w:tc>
        <w:tc>
          <w:tcPr>
            <w:tcW w:w="4681" w:type="dxa"/>
            <w:hideMark/>
          </w:tcPr>
          <w:p w:rsidR="00827838" w:rsidRPr="00827838" w:rsidRDefault="005F16C0" w:rsidP="00827838">
            <w:pPr>
              <w:suppressAutoHyphens/>
              <w:spacing w:before="120" w:after="0" w:line="240" w:lineRule="auto"/>
              <w:jc w:val="center"/>
              <w:rPr>
                <w:rFonts w:eastAsia="Calibri" w:cs="Times New Roman"/>
                <w:bCs/>
                <w:color w:val="000000"/>
                <w:szCs w:val="24"/>
                <w:lang w:eastAsia="ar-SA"/>
              </w:rPr>
            </w:pPr>
            <w:r>
              <w:rPr>
                <w:rFonts w:eastAsia="Calibri" w:cs="Times New Roman"/>
                <w:bCs/>
                <w:color w:val="000000"/>
                <w:szCs w:val="24"/>
                <w:lang w:eastAsia="ar-SA"/>
              </w:rPr>
              <w:t>/D.Upeniece/</w:t>
            </w:r>
            <w:bookmarkStart w:id="0" w:name="_GoBack"/>
            <w:bookmarkEnd w:id="0"/>
          </w:p>
        </w:tc>
      </w:tr>
    </w:tbl>
    <w:p w:rsidR="00827838" w:rsidRPr="00827838" w:rsidRDefault="00827838" w:rsidP="00827838">
      <w:pPr>
        <w:suppressAutoHyphens/>
        <w:spacing w:before="120" w:after="0" w:line="240" w:lineRule="auto"/>
        <w:rPr>
          <w:rFonts w:eastAsia="Calibri" w:cs="Times New Roman"/>
          <w:bCs/>
          <w:i/>
          <w:iCs/>
          <w:color w:val="000000"/>
          <w:szCs w:val="24"/>
          <w:lang w:eastAsia="ar-SA"/>
        </w:rPr>
      </w:pPr>
      <w:r w:rsidRPr="00827838">
        <w:rPr>
          <w:rFonts w:eastAsia="Calibri" w:cs="Times New Roman"/>
          <w:bCs/>
          <w:color w:val="000000"/>
          <w:szCs w:val="24"/>
          <w:lang w:eastAsia="ar-SA"/>
        </w:rPr>
        <w:t>z.v.</w:t>
      </w:r>
      <w:r w:rsidRPr="00827838">
        <w:rPr>
          <w:rFonts w:eastAsia="Calibri" w:cs="Times New Roman"/>
          <w:bCs/>
          <w:color w:val="000000"/>
          <w:szCs w:val="24"/>
          <w:lang w:eastAsia="ar-SA"/>
        </w:rPr>
        <w:tab/>
      </w:r>
      <w:r w:rsidRPr="00827838">
        <w:rPr>
          <w:rFonts w:eastAsia="Calibri" w:cs="Times New Roman"/>
          <w:bCs/>
          <w:color w:val="000000"/>
          <w:szCs w:val="24"/>
          <w:lang w:eastAsia="ar-SA"/>
        </w:rPr>
        <w:tab/>
      </w:r>
      <w:r w:rsidRPr="00827838">
        <w:rPr>
          <w:rFonts w:eastAsia="Calibri" w:cs="Times New Roman"/>
          <w:b/>
          <w:bCs/>
          <w:color w:val="000000"/>
          <w:szCs w:val="24"/>
          <w:lang w:eastAsia="ar-SA"/>
        </w:rPr>
        <w:tab/>
      </w:r>
      <w:r w:rsidRPr="00827838">
        <w:rPr>
          <w:rFonts w:eastAsia="Calibri" w:cs="Times New Roman"/>
          <w:b/>
          <w:bCs/>
          <w:color w:val="000000"/>
          <w:szCs w:val="24"/>
          <w:lang w:eastAsia="ar-SA"/>
        </w:rPr>
        <w:tab/>
      </w:r>
      <w:r w:rsidRPr="00827838">
        <w:rPr>
          <w:rFonts w:eastAsia="Calibri" w:cs="Times New Roman"/>
          <w:b/>
          <w:bCs/>
          <w:color w:val="000000"/>
          <w:szCs w:val="24"/>
          <w:lang w:eastAsia="ar-SA"/>
        </w:rPr>
        <w:tab/>
      </w:r>
      <w:r w:rsidRPr="00827838">
        <w:rPr>
          <w:rFonts w:eastAsia="Calibri" w:cs="Times New Roman"/>
          <w:b/>
          <w:bCs/>
          <w:color w:val="000000"/>
          <w:szCs w:val="24"/>
          <w:lang w:eastAsia="ar-SA"/>
        </w:rPr>
        <w:tab/>
      </w:r>
      <w:r w:rsidRPr="00827838">
        <w:rPr>
          <w:rFonts w:eastAsia="Calibri" w:cs="Times New Roman"/>
          <w:b/>
          <w:bCs/>
          <w:color w:val="000000"/>
          <w:szCs w:val="24"/>
          <w:lang w:eastAsia="ar-SA"/>
        </w:rPr>
        <w:tab/>
      </w:r>
      <w:r w:rsidRPr="00827838">
        <w:rPr>
          <w:rFonts w:eastAsia="Calibri" w:cs="Times New Roman"/>
          <w:bCs/>
          <w:color w:val="000000"/>
          <w:szCs w:val="24"/>
          <w:lang w:eastAsia="ar-SA"/>
        </w:rPr>
        <w:t>z.v.</w:t>
      </w:r>
    </w:p>
    <w:p w:rsidR="00827838" w:rsidRPr="006265EA" w:rsidRDefault="00827838" w:rsidP="00827838">
      <w:pPr>
        <w:suppressAutoHyphens/>
        <w:spacing w:before="120" w:after="0" w:line="240" w:lineRule="auto"/>
        <w:jc w:val="center"/>
        <w:rPr>
          <w:rFonts w:eastAsia="Calibri" w:cs="Times New Roman"/>
          <w:b/>
          <w:bCs/>
          <w:szCs w:val="24"/>
          <w:lang w:eastAsia="ar-SA"/>
        </w:rPr>
      </w:pPr>
    </w:p>
    <w:p w:rsidR="006265EA" w:rsidRPr="006265EA" w:rsidRDefault="006265EA" w:rsidP="006265EA">
      <w:pPr>
        <w:suppressAutoHyphens/>
        <w:spacing w:after="0" w:line="240" w:lineRule="auto"/>
        <w:rPr>
          <w:rFonts w:eastAsia="Calibri" w:cs="Times New Roman"/>
          <w:b/>
          <w:bCs/>
          <w:color w:val="000000"/>
          <w:szCs w:val="24"/>
          <w:lang w:eastAsia="ar-SA"/>
        </w:rPr>
      </w:pPr>
    </w:p>
    <w:p w:rsidR="006265EA" w:rsidRPr="006265EA" w:rsidRDefault="006265EA" w:rsidP="006265EA">
      <w:pPr>
        <w:suppressAutoHyphens/>
        <w:spacing w:after="0" w:line="240" w:lineRule="auto"/>
        <w:jc w:val="center"/>
        <w:rPr>
          <w:rFonts w:eastAsia="Calibri" w:cs="Times New Roman"/>
          <w:b/>
          <w:bCs/>
          <w:color w:val="000000"/>
          <w:szCs w:val="24"/>
          <w:lang w:eastAsia="ar-SA"/>
        </w:rPr>
      </w:pP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r w:rsidRPr="006265EA">
        <w:rPr>
          <w:rFonts w:eastAsia="Calibri" w:cs="Times New Roman"/>
          <w:b/>
          <w:bCs/>
          <w:color w:val="000000"/>
          <w:szCs w:val="24"/>
          <w:lang w:eastAsia="ar-SA"/>
        </w:rPr>
        <w:tab/>
      </w:r>
    </w:p>
    <w:tbl>
      <w:tblPr>
        <w:tblpPr w:leftFromText="180" w:rightFromText="180" w:vertAnchor="text" w:tblpX="-318" w:tblpY="1"/>
        <w:tblOverlap w:val="never"/>
        <w:tblW w:w="8886" w:type="dxa"/>
        <w:tblLook w:val="0000" w:firstRow="0" w:lastRow="0" w:firstColumn="0" w:lastColumn="0" w:noHBand="0" w:noVBand="0"/>
      </w:tblPr>
      <w:tblGrid>
        <w:gridCol w:w="4503"/>
        <w:gridCol w:w="4383"/>
      </w:tblGrid>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b/>
                <w:bCs/>
                <w:szCs w:val="24"/>
                <w:lang w:eastAsia="lv-LV"/>
              </w:rPr>
            </w:pPr>
          </w:p>
        </w:tc>
        <w:tc>
          <w:tcPr>
            <w:tcW w:w="4383" w:type="dxa"/>
          </w:tcPr>
          <w:p w:rsidR="000C345A" w:rsidRPr="000C345A" w:rsidRDefault="000C345A" w:rsidP="000C345A">
            <w:pPr>
              <w:spacing w:after="0" w:line="240" w:lineRule="auto"/>
              <w:ind w:left="567"/>
              <w:jc w:val="both"/>
              <w:rPr>
                <w:rFonts w:eastAsia="Times New Roman" w:cs="Times New Roman"/>
                <w:b/>
                <w:bCs/>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567"/>
              <w:jc w:val="both"/>
              <w:rPr>
                <w:rFonts w:eastAsia="Times New Roman" w:cs="Times New Roman"/>
                <w:szCs w:val="24"/>
                <w:lang w:eastAsia="lv-LV"/>
              </w:rPr>
            </w:pPr>
          </w:p>
        </w:tc>
      </w:tr>
      <w:tr w:rsidR="000C345A" w:rsidRPr="000C345A" w:rsidTr="000C345A">
        <w:tc>
          <w:tcPr>
            <w:tcW w:w="4503" w:type="dxa"/>
          </w:tcPr>
          <w:p w:rsidR="000C345A" w:rsidRPr="000C345A" w:rsidRDefault="000C345A" w:rsidP="00827838">
            <w:pPr>
              <w:spacing w:after="0" w:line="240" w:lineRule="auto"/>
              <w:ind w:left="567"/>
              <w:jc w:val="both"/>
              <w:rPr>
                <w:rFonts w:eastAsia="Times New Roman" w:cs="Times New Roman"/>
                <w:b/>
                <w:szCs w:val="24"/>
                <w:lang w:eastAsia="lv-LV"/>
              </w:rPr>
            </w:pPr>
          </w:p>
        </w:tc>
        <w:tc>
          <w:tcPr>
            <w:tcW w:w="4383" w:type="dxa"/>
          </w:tcPr>
          <w:p w:rsidR="000C345A" w:rsidRPr="000C345A" w:rsidRDefault="000C345A" w:rsidP="000C345A">
            <w:pPr>
              <w:spacing w:after="0" w:line="240" w:lineRule="auto"/>
              <w:ind w:firstLine="601"/>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E76650">
            <w:pPr>
              <w:spacing w:after="0" w:line="240" w:lineRule="auto"/>
              <w:ind w:left="600" w:firstLine="1"/>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firstLine="601"/>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644" w:hanging="43"/>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firstLine="601"/>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firstLine="601"/>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567"/>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567"/>
              <w:jc w:val="both"/>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567"/>
              <w:rPr>
                <w:rFonts w:eastAsia="Times New Roman" w:cs="Times New Roman"/>
                <w:szCs w:val="24"/>
                <w:lang w:eastAsia="lv-LV"/>
              </w:rPr>
            </w:pPr>
          </w:p>
        </w:tc>
      </w:tr>
      <w:tr w:rsidR="000C345A" w:rsidRPr="000C345A" w:rsidTr="000C345A">
        <w:tc>
          <w:tcPr>
            <w:tcW w:w="4503" w:type="dxa"/>
          </w:tcPr>
          <w:p w:rsidR="000C345A" w:rsidRPr="000C345A" w:rsidRDefault="000C345A" w:rsidP="000C345A">
            <w:pPr>
              <w:spacing w:after="0" w:line="240" w:lineRule="auto"/>
              <w:ind w:left="567"/>
              <w:jc w:val="both"/>
              <w:rPr>
                <w:rFonts w:eastAsia="Times New Roman" w:cs="Times New Roman"/>
                <w:szCs w:val="24"/>
                <w:lang w:eastAsia="lv-LV"/>
              </w:rPr>
            </w:pPr>
          </w:p>
        </w:tc>
        <w:tc>
          <w:tcPr>
            <w:tcW w:w="4383" w:type="dxa"/>
          </w:tcPr>
          <w:p w:rsidR="000C345A" w:rsidRPr="000C345A" w:rsidRDefault="000C345A" w:rsidP="000C345A">
            <w:pPr>
              <w:spacing w:after="0" w:line="240" w:lineRule="auto"/>
              <w:ind w:left="567"/>
              <w:jc w:val="both"/>
              <w:rPr>
                <w:rFonts w:eastAsia="Times New Roman" w:cs="Times New Roman"/>
                <w:szCs w:val="24"/>
                <w:lang w:eastAsia="lv-LV"/>
              </w:rPr>
            </w:pPr>
          </w:p>
        </w:tc>
      </w:tr>
    </w:tbl>
    <w:p w:rsidR="006265EA" w:rsidRPr="006265EA" w:rsidRDefault="006265EA" w:rsidP="006731A7">
      <w:pPr>
        <w:spacing w:after="0" w:line="240" w:lineRule="auto"/>
        <w:rPr>
          <w:rFonts w:eastAsia="Calibri" w:cs="Times New Roman"/>
          <w:b/>
          <w:bCs/>
          <w:color w:val="000000"/>
          <w:szCs w:val="24"/>
          <w:lang w:eastAsia="ar-SA"/>
        </w:rPr>
      </w:pPr>
    </w:p>
    <w:sectPr w:rsidR="006265EA" w:rsidRPr="006265E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E4" w:rsidRDefault="001C1FE4" w:rsidP="006E3D7E">
      <w:pPr>
        <w:spacing w:after="0" w:line="240" w:lineRule="auto"/>
      </w:pPr>
      <w:r>
        <w:separator/>
      </w:r>
    </w:p>
  </w:endnote>
  <w:endnote w:type="continuationSeparator" w:id="0">
    <w:p w:rsidR="001C1FE4" w:rsidRDefault="001C1FE4" w:rsidP="006E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E4" w:rsidRDefault="001C1FE4" w:rsidP="006E3D7E">
      <w:pPr>
        <w:spacing w:after="0" w:line="240" w:lineRule="auto"/>
      </w:pPr>
      <w:r>
        <w:separator/>
      </w:r>
    </w:p>
  </w:footnote>
  <w:footnote w:type="continuationSeparator" w:id="0">
    <w:p w:rsidR="001C1FE4" w:rsidRDefault="001C1FE4" w:rsidP="006E3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9376C"/>
    <w:multiLevelType w:val="multilevel"/>
    <w:tmpl w:val="124C5DB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862"/>
        </w:tabs>
        <w:ind w:left="862"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B617CCB"/>
    <w:multiLevelType w:val="hybridMultilevel"/>
    <w:tmpl w:val="15B41A2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7BB47D96"/>
    <w:multiLevelType w:val="multilevel"/>
    <w:tmpl w:val="37681076"/>
    <w:lvl w:ilvl="0">
      <w:start w:val="1"/>
      <w:numFmt w:val="decimal"/>
      <w:lvlText w:val="%1."/>
      <w:lvlJc w:val="left"/>
      <w:pPr>
        <w:tabs>
          <w:tab w:val="num" w:pos="525"/>
        </w:tabs>
        <w:ind w:left="525" w:hanging="525"/>
      </w:pPr>
      <w:rPr>
        <w:rFonts w:hint="default"/>
        <w:b/>
        <w:bCs/>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EA"/>
    <w:rsid w:val="000C345A"/>
    <w:rsid w:val="000F4194"/>
    <w:rsid w:val="00110BF3"/>
    <w:rsid w:val="001263D5"/>
    <w:rsid w:val="00194E1F"/>
    <w:rsid w:val="001A560C"/>
    <w:rsid w:val="001C1FE4"/>
    <w:rsid w:val="002455FC"/>
    <w:rsid w:val="002507A0"/>
    <w:rsid w:val="00351338"/>
    <w:rsid w:val="003579B3"/>
    <w:rsid w:val="00382FAF"/>
    <w:rsid w:val="003E5BB6"/>
    <w:rsid w:val="00522818"/>
    <w:rsid w:val="00566711"/>
    <w:rsid w:val="005F16C0"/>
    <w:rsid w:val="006265EA"/>
    <w:rsid w:val="006731A7"/>
    <w:rsid w:val="006E3D7E"/>
    <w:rsid w:val="006F2563"/>
    <w:rsid w:val="0070582D"/>
    <w:rsid w:val="00732034"/>
    <w:rsid w:val="007665BD"/>
    <w:rsid w:val="00827838"/>
    <w:rsid w:val="00844B58"/>
    <w:rsid w:val="00847B34"/>
    <w:rsid w:val="008C4EED"/>
    <w:rsid w:val="00992565"/>
    <w:rsid w:val="00A0320E"/>
    <w:rsid w:val="00A14126"/>
    <w:rsid w:val="00AD2FE5"/>
    <w:rsid w:val="00B40CBF"/>
    <w:rsid w:val="00B52162"/>
    <w:rsid w:val="00B97CFA"/>
    <w:rsid w:val="00BB4528"/>
    <w:rsid w:val="00D447B4"/>
    <w:rsid w:val="00DC11EA"/>
    <w:rsid w:val="00E2190E"/>
    <w:rsid w:val="00E73330"/>
    <w:rsid w:val="00E76650"/>
    <w:rsid w:val="00ED2B8F"/>
    <w:rsid w:val="00F3764B"/>
    <w:rsid w:val="00F44DF6"/>
    <w:rsid w:val="00F5264C"/>
    <w:rsid w:val="00F91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86"/>
    <w:pPr>
      <w:ind w:left="720"/>
      <w:contextualSpacing/>
    </w:pPr>
  </w:style>
  <w:style w:type="paragraph" w:styleId="BalloonText">
    <w:name w:val="Balloon Text"/>
    <w:basedOn w:val="Normal"/>
    <w:link w:val="BalloonTextChar"/>
    <w:uiPriority w:val="99"/>
    <w:semiHidden/>
    <w:unhideWhenUsed/>
    <w:rsid w:val="006E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7E"/>
    <w:rPr>
      <w:rFonts w:ascii="Tahoma" w:hAnsi="Tahoma" w:cs="Tahoma"/>
      <w:sz w:val="16"/>
      <w:szCs w:val="16"/>
    </w:rPr>
  </w:style>
  <w:style w:type="paragraph" w:styleId="Header">
    <w:name w:val="header"/>
    <w:basedOn w:val="Normal"/>
    <w:link w:val="HeaderChar"/>
    <w:uiPriority w:val="99"/>
    <w:unhideWhenUsed/>
    <w:rsid w:val="006E3D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D7E"/>
  </w:style>
  <w:style w:type="paragraph" w:styleId="Footer">
    <w:name w:val="footer"/>
    <w:basedOn w:val="Normal"/>
    <w:link w:val="FooterChar"/>
    <w:uiPriority w:val="99"/>
    <w:unhideWhenUsed/>
    <w:rsid w:val="006E3D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D7E"/>
  </w:style>
  <w:style w:type="character" w:styleId="Hyperlink">
    <w:name w:val="Hyperlink"/>
    <w:basedOn w:val="DefaultParagraphFont"/>
    <w:uiPriority w:val="99"/>
    <w:unhideWhenUsed/>
    <w:rsid w:val="00ED2B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86"/>
    <w:pPr>
      <w:ind w:left="720"/>
      <w:contextualSpacing/>
    </w:pPr>
  </w:style>
  <w:style w:type="paragraph" w:styleId="BalloonText">
    <w:name w:val="Balloon Text"/>
    <w:basedOn w:val="Normal"/>
    <w:link w:val="BalloonTextChar"/>
    <w:uiPriority w:val="99"/>
    <w:semiHidden/>
    <w:unhideWhenUsed/>
    <w:rsid w:val="006E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D7E"/>
    <w:rPr>
      <w:rFonts w:ascii="Tahoma" w:hAnsi="Tahoma" w:cs="Tahoma"/>
      <w:sz w:val="16"/>
      <w:szCs w:val="16"/>
    </w:rPr>
  </w:style>
  <w:style w:type="paragraph" w:styleId="Header">
    <w:name w:val="header"/>
    <w:basedOn w:val="Normal"/>
    <w:link w:val="HeaderChar"/>
    <w:uiPriority w:val="99"/>
    <w:unhideWhenUsed/>
    <w:rsid w:val="006E3D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D7E"/>
  </w:style>
  <w:style w:type="paragraph" w:styleId="Footer">
    <w:name w:val="footer"/>
    <w:basedOn w:val="Normal"/>
    <w:link w:val="FooterChar"/>
    <w:uiPriority w:val="99"/>
    <w:unhideWhenUsed/>
    <w:rsid w:val="006E3D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D7E"/>
  </w:style>
  <w:style w:type="character" w:styleId="Hyperlink">
    <w:name w:val="Hyperlink"/>
    <w:basedOn w:val="DefaultParagraphFont"/>
    <w:uiPriority w:val="99"/>
    <w:unhideWhenUsed/>
    <w:rsid w:val="00ED2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F9E7-1CE1-44B2-BD62-3A25D47D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8768</Words>
  <Characters>4998</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Meija</dc:creator>
  <cp:lastModifiedBy>Jānis Meija</cp:lastModifiedBy>
  <cp:revision>2</cp:revision>
  <dcterms:created xsi:type="dcterms:W3CDTF">2015-02-27T11:01:00Z</dcterms:created>
  <dcterms:modified xsi:type="dcterms:W3CDTF">2015-02-27T11:01:00Z</dcterms:modified>
</cp:coreProperties>
</file>