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430E7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6805ADF" wp14:editId="052AE2C6">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3389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rsidR="003D5C89" w:rsidRDefault="0073389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D3DBA" w:rsidP="007D7A37">
            <w:pPr>
              <w:pStyle w:val="Header"/>
              <w:tabs>
                <w:tab w:val="clear" w:pos="4320"/>
                <w:tab w:val="clear" w:pos="8640"/>
              </w:tabs>
              <w:rPr>
                <w:bCs/>
                <w:szCs w:val="44"/>
                <w:lang w:val="lv-LV"/>
              </w:rPr>
            </w:pPr>
            <w:r>
              <w:rPr>
                <w:bCs/>
                <w:szCs w:val="44"/>
                <w:lang w:val="lv-LV"/>
              </w:rPr>
              <w:t>27</w:t>
            </w:r>
            <w:r w:rsidR="00E61AB9" w:rsidRPr="00675DDD">
              <w:rPr>
                <w:bCs/>
                <w:szCs w:val="44"/>
                <w:lang w:val="lv-LV"/>
              </w:rPr>
              <w:t>.</w:t>
            </w:r>
            <w:r w:rsidR="00CD139B" w:rsidRPr="00675DDD">
              <w:rPr>
                <w:bCs/>
                <w:szCs w:val="44"/>
                <w:lang w:val="lv-LV"/>
              </w:rPr>
              <w:t>0</w:t>
            </w:r>
            <w:r>
              <w:rPr>
                <w:bCs/>
                <w:szCs w:val="44"/>
                <w:lang w:val="lv-LV"/>
              </w:rPr>
              <w:t>4</w:t>
            </w:r>
            <w:r w:rsidR="00CD139B" w:rsidRPr="00675DDD">
              <w:rPr>
                <w:bCs/>
                <w:szCs w:val="44"/>
                <w:lang w:val="lv-LV"/>
              </w:rPr>
              <w:t>.</w:t>
            </w:r>
            <w:r w:rsidR="0044759D">
              <w:rPr>
                <w:bCs/>
                <w:szCs w:val="44"/>
                <w:lang w:val="lv-LV"/>
              </w:rPr>
              <w:t>20</w:t>
            </w:r>
            <w:r w:rsidR="000C4CB0">
              <w:rPr>
                <w:bCs/>
                <w:szCs w:val="44"/>
                <w:lang w:val="lv-LV"/>
              </w:rPr>
              <w:t>1</w:t>
            </w:r>
            <w:r w:rsidR="007D7A37">
              <w:rPr>
                <w:bCs/>
                <w:szCs w:val="44"/>
                <w:lang w:val="lv-LV"/>
              </w:rPr>
              <w:t>7</w:t>
            </w:r>
            <w:r w:rsidR="00B51C9C">
              <w:rPr>
                <w:bCs/>
                <w:szCs w:val="44"/>
                <w:lang w:val="lv-LV"/>
              </w:rPr>
              <w:t>.</w:t>
            </w:r>
          </w:p>
        </w:tc>
        <w:tc>
          <w:tcPr>
            <w:tcW w:w="1980" w:type="dxa"/>
          </w:tcPr>
          <w:p w:rsidR="00E61AB9" w:rsidRDefault="00E61AB9" w:rsidP="00DD3DBA">
            <w:pPr>
              <w:pStyle w:val="Header"/>
              <w:tabs>
                <w:tab w:val="clear" w:pos="4320"/>
                <w:tab w:val="clear" w:pos="8640"/>
              </w:tabs>
              <w:jc w:val="right"/>
              <w:rPr>
                <w:bCs/>
                <w:szCs w:val="44"/>
                <w:lang w:val="lv-LV"/>
              </w:rPr>
            </w:pPr>
            <w:r>
              <w:rPr>
                <w:bCs/>
                <w:szCs w:val="44"/>
                <w:lang w:val="lv-LV"/>
              </w:rPr>
              <w:t>Nr.</w:t>
            </w:r>
            <w:r w:rsidR="00DD3DBA">
              <w:rPr>
                <w:bCs/>
                <w:szCs w:val="44"/>
                <w:lang w:val="lv-LV"/>
              </w:rPr>
              <w:t>5</w:t>
            </w:r>
            <w:r w:rsidR="00733891">
              <w:rPr>
                <w:bCs/>
                <w:szCs w:val="44"/>
                <w:lang w:val="lv-LV"/>
              </w:rPr>
              <w:t>/1</w:t>
            </w:r>
            <w:r w:rsidR="002019C9">
              <w:rPr>
                <w:bCs/>
                <w:szCs w:val="44"/>
                <w:lang w:val="lv-LV"/>
              </w:rPr>
              <w:t>3</w:t>
            </w:r>
          </w:p>
        </w:tc>
      </w:tr>
    </w:tbl>
    <w:p w:rsidR="00DD3DBA" w:rsidRPr="00DD3DBA" w:rsidRDefault="00DD3DBA" w:rsidP="00DD3DBA"/>
    <w:p w:rsidR="002019C9" w:rsidRPr="002019C9" w:rsidRDefault="002019C9" w:rsidP="002019C9">
      <w:pPr>
        <w:pBdr>
          <w:bottom w:val="single" w:sz="12" w:space="1" w:color="auto"/>
        </w:pBdr>
        <w:jc w:val="center"/>
        <w:rPr>
          <w:b/>
          <w:bCs/>
        </w:rPr>
      </w:pPr>
      <w:r w:rsidRPr="002019C9">
        <w:rPr>
          <w:b/>
          <w:bCs/>
        </w:rPr>
        <w:t>PROJEKTA “</w:t>
      </w:r>
      <w:r w:rsidRPr="002019C9">
        <w:rPr>
          <w:b/>
        </w:rPr>
        <w:t>PIEKĻUVES UZLABOŠANA RUBEŅU CEĻA INDUSTRIĀLĀS ZONAS ATTĪSTĪBAI</w:t>
      </w:r>
      <w:r w:rsidRPr="002019C9">
        <w:rPr>
          <w:b/>
          <w:bCs/>
          <w:caps/>
        </w:rPr>
        <w:t>” IESNIEGšana</w:t>
      </w:r>
    </w:p>
    <w:p w:rsidR="009664FB" w:rsidRPr="009664FB" w:rsidRDefault="009664FB" w:rsidP="009664FB">
      <w:pPr>
        <w:spacing w:line="360" w:lineRule="auto"/>
        <w:jc w:val="center"/>
      </w:pPr>
      <w:r w:rsidRPr="009664FB">
        <w:t>(ziņo I.Škutāne)</w:t>
      </w:r>
    </w:p>
    <w:p w:rsidR="009664FB" w:rsidRPr="009664FB" w:rsidRDefault="00DB34FA" w:rsidP="009664FB">
      <w:pPr>
        <w:ind w:firstLine="720"/>
        <w:jc w:val="both"/>
        <w:rPr>
          <w:iCs/>
        </w:rPr>
      </w:pPr>
      <w:r>
        <w:rPr>
          <w:b/>
          <w:bCs/>
        </w:rPr>
        <w:t>Atklāti balsojot: PAR – 11</w:t>
      </w:r>
      <w:r w:rsidR="009664FB" w:rsidRPr="009664FB">
        <w:rPr>
          <w:b/>
          <w:bCs/>
        </w:rPr>
        <w:t xml:space="preserve"> </w:t>
      </w:r>
      <w:r w:rsidR="009664FB" w:rsidRPr="009664FB">
        <w:rPr>
          <w:bCs/>
        </w:rPr>
        <w:t xml:space="preserve">(A.Rāviņš, R.Vectirāne, A.Rublis, J.Strods, </w:t>
      </w:r>
      <w:proofErr w:type="spellStart"/>
      <w:r w:rsidR="009664FB" w:rsidRPr="009664FB">
        <w:rPr>
          <w:bCs/>
        </w:rPr>
        <w:t>V.Ļevčenoks</w:t>
      </w:r>
      <w:proofErr w:type="spellEnd"/>
      <w:r w:rsidR="009664FB" w:rsidRPr="009664FB">
        <w:rPr>
          <w:bCs/>
        </w:rPr>
        <w:t xml:space="preserve">, M.Buškevics, </w:t>
      </w:r>
      <w:proofErr w:type="spellStart"/>
      <w:r w:rsidR="009664FB" w:rsidRPr="009664FB">
        <w:rPr>
          <w:bCs/>
        </w:rPr>
        <w:t>I.Jakovels</w:t>
      </w:r>
      <w:proofErr w:type="spellEnd"/>
      <w:r w:rsidR="009664FB" w:rsidRPr="009664FB">
        <w:rPr>
          <w:bCs/>
        </w:rPr>
        <w:t xml:space="preserve">, </w:t>
      </w:r>
      <w:proofErr w:type="spellStart"/>
      <w:r w:rsidR="009664FB" w:rsidRPr="009664FB">
        <w:rPr>
          <w:bCs/>
        </w:rPr>
        <w:t>S.Šalājevs</w:t>
      </w:r>
      <w:proofErr w:type="spellEnd"/>
      <w:r w:rsidR="009664FB" w:rsidRPr="009664FB">
        <w:rPr>
          <w:bCs/>
        </w:rPr>
        <w:t xml:space="preserve">, V.Grigorjevs, </w:t>
      </w:r>
      <w:bookmarkStart w:id="0" w:name="_GoBack"/>
      <w:bookmarkEnd w:id="0"/>
      <w:r w:rsidR="009664FB" w:rsidRPr="009664FB">
        <w:rPr>
          <w:bCs/>
        </w:rPr>
        <w:t xml:space="preserve">D.Olte, R.Šlegelmilhs), </w:t>
      </w:r>
      <w:r w:rsidR="009664FB" w:rsidRPr="009664FB">
        <w:rPr>
          <w:b/>
          <w:color w:val="000000"/>
        </w:rPr>
        <w:t xml:space="preserve">PRET- </w:t>
      </w:r>
      <w:r w:rsidR="009664FB" w:rsidRPr="009664FB">
        <w:rPr>
          <w:color w:val="000000"/>
        </w:rPr>
        <w:t>nav,</w:t>
      </w:r>
      <w:r w:rsidR="009664FB" w:rsidRPr="009664FB">
        <w:rPr>
          <w:b/>
          <w:color w:val="000000"/>
        </w:rPr>
        <w:t xml:space="preserve"> ATTURAS </w:t>
      </w:r>
      <w:r w:rsidR="009664FB" w:rsidRPr="009664FB">
        <w:rPr>
          <w:color w:val="000000"/>
        </w:rPr>
        <w:t>– nav,</w:t>
      </w:r>
    </w:p>
    <w:p w:rsidR="002019C9" w:rsidRPr="002019C9" w:rsidRDefault="002019C9" w:rsidP="002019C9"/>
    <w:p w:rsidR="002019C9" w:rsidRPr="009664FB" w:rsidRDefault="002019C9" w:rsidP="009664FB">
      <w:pPr>
        <w:ind w:firstLine="567"/>
        <w:jc w:val="both"/>
        <w:rPr>
          <w:szCs w:val="20"/>
        </w:rPr>
      </w:pPr>
      <w:r w:rsidRPr="002019C9">
        <w:rPr>
          <w:szCs w:val="20"/>
        </w:rPr>
        <w:t>Saskaņā ar likuma „Par pašvaldībām” 15.panta pirmās daļas 2.punktu,</w:t>
      </w:r>
      <w:r w:rsidRPr="002019C9">
        <w:rPr>
          <w:szCs w:val="20"/>
          <w:lang w:eastAsia="lv-LV"/>
        </w:rPr>
        <w:t xml:space="preserve"> </w:t>
      </w:r>
      <w:r w:rsidRPr="002019C9">
        <w:rPr>
          <w:szCs w:val="20"/>
        </w:rPr>
        <w:t xml:space="preserve">Jelgavas pilsētas attīstības programmu 2014.-2020.gadam (apstiprināta ar Jelgavas pilsētas domes 2013.gada 23.maija lēmumu Nr.5/5 “Jelgavas pilsētas attīstības programmas 2014.-2020.gadam apstiprināšana”) un izsludināto projektu konkursu </w:t>
      </w:r>
      <w:hyperlink r:id="rId9" w:tgtFrame="_blank" w:history="1">
        <w:r w:rsidRPr="002019C9">
          <w:t>darbības programmas “Izaugsme un nodarbinātība” 3.3.1. specifiskā atbalsta mērķa “</w:t>
        </w:r>
        <w:r w:rsidRPr="002019C9">
          <w:rPr>
            <w:bCs/>
          </w:rPr>
          <w:t>Palielināt privāto investīciju apjomu reģionos, veicot ieguldījumus uzņēmējdarbības attīstībai atbilstoši pašvaldību attīstības programmās noteiktajai teritoriju ekonomiskajai specializācijai un balstoties uz vietējo uzņēmēju vajadzībām</w:t>
        </w:r>
      </w:hyperlink>
      <w:r w:rsidRPr="002019C9">
        <w:t>” ietvaros</w:t>
      </w:r>
      <w:r w:rsidRPr="002019C9">
        <w:rPr>
          <w:szCs w:val="20"/>
        </w:rPr>
        <w:t>,</w:t>
      </w:r>
    </w:p>
    <w:p w:rsidR="002019C9" w:rsidRPr="002019C9" w:rsidRDefault="002019C9" w:rsidP="002019C9">
      <w:pPr>
        <w:rPr>
          <w:b/>
          <w:bCs/>
          <w:szCs w:val="20"/>
          <w:lang w:eastAsia="lv-LV"/>
        </w:rPr>
      </w:pPr>
      <w:r w:rsidRPr="002019C9">
        <w:rPr>
          <w:b/>
          <w:bCs/>
          <w:szCs w:val="20"/>
          <w:lang w:eastAsia="lv-LV"/>
        </w:rPr>
        <w:t>JELGAVAS PILSĒTAS DOME NOLEMJ:</w:t>
      </w:r>
    </w:p>
    <w:p w:rsidR="002019C9" w:rsidRPr="002019C9" w:rsidRDefault="002019C9" w:rsidP="002019C9">
      <w:pPr>
        <w:numPr>
          <w:ilvl w:val="0"/>
          <w:numId w:val="2"/>
        </w:numPr>
        <w:ind w:left="284" w:hanging="284"/>
        <w:jc w:val="both"/>
        <w:rPr>
          <w:szCs w:val="20"/>
          <w:lang w:eastAsia="lv-LV"/>
        </w:rPr>
      </w:pPr>
      <w:r w:rsidRPr="002019C9">
        <w:rPr>
          <w:szCs w:val="20"/>
          <w:lang w:eastAsia="lv-LV"/>
        </w:rPr>
        <w:t xml:space="preserve">Iesniegt projekta iesniegumu “Piekļuves uzlabošana Rubeņu ceļa industriālās zonas attīstībai” (turpmāk – Projekts) </w:t>
      </w:r>
      <w:hyperlink r:id="rId10" w:tgtFrame="_blank" w:history="1">
        <w:r w:rsidRPr="002019C9">
          <w:rPr>
            <w:szCs w:val="20"/>
            <w:lang w:eastAsia="lv-LV"/>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w:t>
        </w:r>
      </w:hyperlink>
      <w:r w:rsidRPr="002019C9">
        <w:rPr>
          <w:szCs w:val="20"/>
          <w:lang w:eastAsia="lv-LV"/>
        </w:rPr>
        <w:t xml:space="preserve"> vajadzībām”</w:t>
      </w:r>
      <w:r w:rsidRPr="002019C9">
        <w:rPr>
          <w:i/>
          <w:iCs/>
          <w:szCs w:val="20"/>
          <w:lang w:eastAsia="lv-LV"/>
        </w:rPr>
        <w:t xml:space="preserve"> </w:t>
      </w:r>
      <w:r w:rsidRPr="002019C9">
        <w:rPr>
          <w:szCs w:val="20"/>
          <w:lang w:eastAsia="lv-LV"/>
        </w:rPr>
        <w:t xml:space="preserve">ietvaros. Projekta kopējās izmaksas ir 355 882,35 </w:t>
      </w:r>
      <w:proofErr w:type="spellStart"/>
      <w:r w:rsidRPr="002019C9">
        <w:rPr>
          <w:i/>
          <w:szCs w:val="20"/>
          <w:lang w:eastAsia="lv-LV"/>
        </w:rPr>
        <w:t>euro</w:t>
      </w:r>
      <w:proofErr w:type="spellEnd"/>
      <w:r w:rsidRPr="002019C9">
        <w:rPr>
          <w:szCs w:val="20"/>
          <w:lang w:eastAsia="lv-LV"/>
        </w:rPr>
        <w:t>, no tām</w:t>
      </w:r>
      <w:r w:rsidRPr="002019C9">
        <w:rPr>
          <w:i/>
          <w:szCs w:val="20"/>
          <w:lang w:eastAsia="lv-LV"/>
        </w:rPr>
        <w:t xml:space="preserve"> </w:t>
      </w:r>
      <w:r w:rsidRPr="002019C9">
        <w:rPr>
          <w:szCs w:val="20"/>
          <w:lang w:eastAsia="lv-LV"/>
        </w:rPr>
        <w:t>302 500,00</w:t>
      </w:r>
      <w:r w:rsidRPr="002019C9">
        <w:rPr>
          <w:i/>
          <w:szCs w:val="20"/>
          <w:lang w:eastAsia="lv-LV"/>
        </w:rPr>
        <w:t xml:space="preserve"> </w:t>
      </w:r>
      <w:proofErr w:type="spellStart"/>
      <w:r w:rsidRPr="002019C9">
        <w:rPr>
          <w:i/>
          <w:szCs w:val="20"/>
          <w:lang w:eastAsia="lv-LV"/>
        </w:rPr>
        <w:t>euro</w:t>
      </w:r>
      <w:proofErr w:type="spellEnd"/>
      <w:r w:rsidRPr="002019C9">
        <w:rPr>
          <w:i/>
          <w:szCs w:val="20"/>
          <w:lang w:eastAsia="lv-LV"/>
        </w:rPr>
        <w:t xml:space="preserve"> </w:t>
      </w:r>
      <w:r w:rsidRPr="002019C9">
        <w:rPr>
          <w:szCs w:val="20"/>
          <w:lang w:eastAsia="lv-LV"/>
        </w:rPr>
        <w:t>(85%)</w:t>
      </w:r>
      <w:r w:rsidRPr="002019C9">
        <w:rPr>
          <w:i/>
          <w:szCs w:val="20"/>
          <w:lang w:eastAsia="lv-LV"/>
        </w:rPr>
        <w:t xml:space="preserve"> </w:t>
      </w:r>
      <w:r w:rsidRPr="002019C9">
        <w:rPr>
          <w:szCs w:val="20"/>
          <w:lang w:eastAsia="lv-LV"/>
        </w:rPr>
        <w:t>ir</w:t>
      </w:r>
      <w:r w:rsidRPr="002019C9">
        <w:rPr>
          <w:i/>
          <w:szCs w:val="20"/>
          <w:lang w:eastAsia="lv-LV"/>
        </w:rPr>
        <w:t xml:space="preserve"> </w:t>
      </w:r>
      <w:r w:rsidRPr="002019C9">
        <w:rPr>
          <w:szCs w:val="20"/>
          <w:lang w:eastAsia="lv-LV"/>
        </w:rPr>
        <w:t>Eiropas Reģionālās attīstības fonda finansējums, 13 345,58</w:t>
      </w:r>
      <w:r w:rsidRPr="002019C9">
        <w:rPr>
          <w:i/>
          <w:szCs w:val="20"/>
          <w:lang w:eastAsia="lv-LV"/>
        </w:rPr>
        <w:t xml:space="preserve"> </w:t>
      </w:r>
      <w:proofErr w:type="spellStart"/>
      <w:r w:rsidRPr="002019C9">
        <w:rPr>
          <w:i/>
          <w:szCs w:val="20"/>
          <w:lang w:eastAsia="lv-LV"/>
        </w:rPr>
        <w:t>euro</w:t>
      </w:r>
      <w:proofErr w:type="spellEnd"/>
      <w:r w:rsidRPr="002019C9">
        <w:rPr>
          <w:szCs w:val="20"/>
          <w:lang w:eastAsia="lv-LV"/>
        </w:rPr>
        <w:t xml:space="preserve"> (3,75%)</w:t>
      </w:r>
      <w:r w:rsidRPr="002019C9">
        <w:rPr>
          <w:i/>
          <w:szCs w:val="20"/>
          <w:lang w:eastAsia="lv-LV"/>
        </w:rPr>
        <w:t xml:space="preserve"> </w:t>
      </w:r>
      <w:r w:rsidRPr="002019C9">
        <w:rPr>
          <w:szCs w:val="20"/>
          <w:lang w:eastAsia="lv-LV"/>
        </w:rPr>
        <w:t>ir valsts budžeta dotācija pašvaldībām un 40 036,76</w:t>
      </w:r>
      <w:r w:rsidRPr="002019C9">
        <w:rPr>
          <w:i/>
          <w:szCs w:val="20"/>
          <w:lang w:eastAsia="lv-LV"/>
        </w:rPr>
        <w:t xml:space="preserve"> </w:t>
      </w:r>
      <w:proofErr w:type="spellStart"/>
      <w:r w:rsidRPr="002019C9">
        <w:rPr>
          <w:i/>
          <w:szCs w:val="20"/>
          <w:lang w:eastAsia="lv-LV"/>
        </w:rPr>
        <w:t>euro</w:t>
      </w:r>
      <w:proofErr w:type="spellEnd"/>
      <w:r w:rsidRPr="002019C9">
        <w:rPr>
          <w:szCs w:val="20"/>
          <w:lang w:eastAsia="lv-LV"/>
        </w:rPr>
        <w:t xml:space="preserve"> (11,25%)</w:t>
      </w:r>
      <w:r w:rsidRPr="002019C9">
        <w:rPr>
          <w:i/>
          <w:szCs w:val="20"/>
          <w:lang w:eastAsia="lv-LV"/>
        </w:rPr>
        <w:t xml:space="preserve"> </w:t>
      </w:r>
      <w:r w:rsidRPr="002019C9">
        <w:rPr>
          <w:szCs w:val="20"/>
          <w:lang w:eastAsia="lv-LV"/>
        </w:rPr>
        <w:t xml:space="preserve">ir Jelgavas pilsētas pašvaldības līdzfinansējums. </w:t>
      </w:r>
    </w:p>
    <w:p w:rsidR="002019C9" w:rsidRPr="002019C9" w:rsidRDefault="002019C9" w:rsidP="002019C9">
      <w:pPr>
        <w:numPr>
          <w:ilvl w:val="0"/>
          <w:numId w:val="2"/>
        </w:numPr>
        <w:ind w:left="284" w:hanging="284"/>
        <w:jc w:val="both"/>
        <w:rPr>
          <w:szCs w:val="20"/>
          <w:lang w:eastAsia="lv-LV"/>
        </w:rPr>
      </w:pPr>
      <w:r w:rsidRPr="002019C9">
        <w:rPr>
          <w:szCs w:val="20"/>
          <w:lang w:eastAsia="lv-LV"/>
        </w:rPr>
        <w:t xml:space="preserve">Projekta apstiprināšanas gadījumā Finanšu nodaļai iekļaut 2017.gada pašvaldības budžetā Projekta īstenošanai nepieciešamo priekšfinansējumu 355 882,35 </w:t>
      </w:r>
      <w:proofErr w:type="spellStart"/>
      <w:r w:rsidRPr="002019C9">
        <w:rPr>
          <w:i/>
          <w:szCs w:val="20"/>
          <w:lang w:eastAsia="lv-LV"/>
        </w:rPr>
        <w:t>euro</w:t>
      </w:r>
      <w:proofErr w:type="spellEnd"/>
      <w:r w:rsidRPr="002019C9">
        <w:rPr>
          <w:szCs w:val="20"/>
          <w:lang w:eastAsia="lv-LV"/>
        </w:rPr>
        <w:t xml:space="preserve"> apmērā, t.sk. pašvaldības līdzfinansējums 40 036,76 </w:t>
      </w:r>
      <w:proofErr w:type="spellStart"/>
      <w:r w:rsidRPr="002019C9">
        <w:rPr>
          <w:i/>
          <w:szCs w:val="20"/>
          <w:lang w:eastAsia="lv-LV"/>
        </w:rPr>
        <w:t>euro</w:t>
      </w:r>
      <w:proofErr w:type="spellEnd"/>
      <w:r w:rsidRPr="002019C9">
        <w:rPr>
          <w:szCs w:val="20"/>
          <w:lang w:eastAsia="lv-LV"/>
        </w:rPr>
        <w:t>.</w:t>
      </w:r>
    </w:p>
    <w:p w:rsidR="00DD3DBA" w:rsidRPr="009664FB" w:rsidRDefault="002019C9" w:rsidP="009664FB">
      <w:pPr>
        <w:numPr>
          <w:ilvl w:val="0"/>
          <w:numId w:val="2"/>
        </w:numPr>
        <w:ind w:left="284" w:hanging="284"/>
        <w:jc w:val="both"/>
        <w:rPr>
          <w:szCs w:val="20"/>
          <w:lang w:eastAsia="lv-LV"/>
        </w:rPr>
      </w:pPr>
      <w:r w:rsidRPr="002019C9">
        <w:rPr>
          <w:szCs w:val="20"/>
          <w:lang w:eastAsia="lv-LV"/>
        </w:rPr>
        <w:t xml:space="preserve">Pilnvarot Jelgavas pilsētas pašvaldības izpilddirektoru veikt visas nepieciešamās darbības Projekta iesniegšanai un ieviešanai, kā arī parakstīt ar Projekta iesniegšanu un ieviešanu saistītos dokumentus. </w:t>
      </w:r>
    </w:p>
    <w:p w:rsidR="009664FB" w:rsidRDefault="009664FB" w:rsidP="009519F8">
      <w:pPr>
        <w:jc w:val="both"/>
      </w:pPr>
    </w:p>
    <w:p w:rsidR="009519F8" w:rsidRPr="009519F8" w:rsidRDefault="009519F8" w:rsidP="009519F8">
      <w:pPr>
        <w:jc w:val="both"/>
      </w:pPr>
      <w:r w:rsidRPr="009519F8">
        <w:t>Domes priekšsēdētājs</w:t>
      </w:r>
      <w:r w:rsidRPr="009519F8">
        <w:tab/>
      </w:r>
      <w:r w:rsidRPr="009519F8">
        <w:tab/>
      </w:r>
      <w:r w:rsidRPr="009519F8">
        <w:tab/>
      </w:r>
      <w:r w:rsidRPr="009519F8">
        <w:tab/>
      </w:r>
      <w:r w:rsidRPr="009519F8">
        <w:tab/>
      </w:r>
      <w:r w:rsidRPr="009519F8">
        <w:rPr>
          <w:color w:val="000000"/>
        </w:rPr>
        <w:t>(paraksts)</w:t>
      </w:r>
      <w:r w:rsidRPr="009519F8">
        <w:tab/>
      </w:r>
      <w:r w:rsidRPr="009519F8">
        <w:tab/>
      </w:r>
      <w:proofErr w:type="gramStart"/>
      <w:r w:rsidR="00DD3DBA">
        <w:t xml:space="preserve">                </w:t>
      </w:r>
      <w:proofErr w:type="gramEnd"/>
      <w:r w:rsidRPr="009519F8">
        <w:t>A.Rāviņš</w:t>
      </w:r>
    </w:p>
    <w:p w:rsidR="009664FB" w:rsidRDefault="009664FB" w:rsidP="009519F8">
      <w:pPr>
        <w:rPr>
          <w:color w:val="000000"/>
          <w:lang w:eastAsia="lv-LV"/>
        </w:rPr>
      </w:pPr>
    </w:p>
    <w:p w:rsidR="00DD3DBA" w:rsidRPr="009519F8" w:rsidRDefault="009664FB" w:rsidP="009519F8">
      <w:pPr>
        <w:rPr>
          <w:color w:val="000000"/>
          <w:lang w:eastAsia="lv-LV"/>
        </w:rPr>
      </w:pPr>
      <w:r>
        <w:rPr>
          <w:color w:val="000000"/>
          <w:lang w:eastAsia="lv-LV"/>
        </w:rPr>
        <w:t>NORAKSTS PAREIZS</w:t>
      </w:r>
    </w:p>
    <w:p w:rsidR="00DD3DBA" w:rsidRPr="00DD3DBA" w:rsidRDefault="00DD3DBA" w:rsidP="00DD3DBA">
      <w:pPr>
        <w:tabs>
          <w:tab w:val="left" w:pos="3960"/>
        </w:tabs>
        <w:jc w:val="both"/>
      </w:pPr>
      <w:r w:rsidRPr="00DD3DBA">
        <w:t xml:space="preserve">Administratīvās pārvaldes </w:t>
      </w:r>
    </w:p>
    <w:p w:rsidR="00DD3DBA" w:rsidRPr="00DD3DBA" w:rsidRDefault="00DD3DBA" w:rsidP="00DD3DBA">
      <w:pPr>
        <w:tabs>
          <w:tab w:val="left" w:pos="3960"/>
        </w:tabs>
        <w:jc w:val="both"/>
      </w:pPr>
      <w:r w:rsidRPr="00DD3DBA">
        <w:t xml:space="preserve">Kancelejas lietvede – </w:t>
      </w:r>
      <w:proofErr w:type="spellStart"/>
      <w:r w:rsidRPr="00DD3DBA">
        <w:t>arhīviste</w:t>
      </w:r>
      <w:proofErr w:type="spellEnd"/>
      <w:r w:rsidRPr="00DD3DBA">
        <w:t xml:space="preserve"> kancelejā </w:t>
      </w:r>
      <w:r w:rsidRPr="00DD3DBA">
        <w:tab/>
      </w:r>
      <w:r w:rsidRPr="00DD3DBA">
        <w:tab/>
      </w:r>
      <w:r w:rsidRPr="00DD3DBA">
        <w:tab/>
      </w:r>
      <w:proofErr w:type="gramStart"/>
      <w:r w:rsidRPr="00DD3DBA">
        <w:t xml:space="preserve">             </w:t>
      </w:r>
      <w:proofErr w:type="gramEnd"/>
      <w:r w:rsidRPr="00DD3DBA">
        <w:tab/>
      </w:r>
      <w:r w:rsidRPr="00DD3DBA">
        <w:tab/>
        <w:t xml:space="preserve"> </w:t>
      </w:r>
      <w:proofErr w:type="spellStart"/>
      <w:r w:rsidRPr="00DD3DBA">
        <w:t>Ž.Memena</w:t>
      </w:r>
      <w:proofErr w:type="spellEnd"/>
    </w:p>
    <w:p w:rsidR="009519F8" w:rsidRPr="009519F8" w:rsidRDefault="009519F8" w:rsidP="009519F8">
      <w:pPr>
        <w:jc w:val="both"/>
      </w:pPr>
      <w:r w:rsidRPr="009519F8">
        <w:t xml:space="preserve">2017.gada </w:t>
      </w:r>
      <w:r w:rsidR="00B36333">
        <w:t>27.aprīlī</w:t>
      </w:r>
    </w:p>
    <w:sectPr w:rsidR="009519F8" w:rsidRPr="009519F8" w:rsidSect="00DD3DBA">
      <w:head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2A" w:rsidRDefault="00F0322A">
      <w:r>
        <w:separator/>
      </w:r>
    </w:p>
  </w:endnote>
  <w:endnote w:type="continuationSeparator" w:id="0">
    <w:p w:rsidR="00F0322A" w:rsidRDefault="00F0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2A" w:rsidRDefault="00F0322A">
      <w:r>
        <w:separator/>
      </w:r>
    </w:p>
  </w:footnote>
  <w:footnote w:type="continuationSeparator" w:id="0">
    <w:p w:rsidR="00F0322A" w:rsidRDefault="00F03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626ECFD4" wp14:editId="5027D41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057BA"/>
    <w:rsid w:val="000275EB"/>
    <w:rsid w:val="00073367"/>
    <w:rsid w:val="0009330D"/>
    <w:rsid w:val="000A269E"/>
    <w:rsid w:val="000A53F1"/>
    <w:rsid w:val="000C4CB0"/>
    <w:rsid w:val="000E4EB6"/>
    <w:rsid w:val="00157FB5"/>
    <w:rsid w:val="00166942"/>
    <w:rsid w:val="00175C42"/>
    <w:rsid w:val="00197F0A"/>
    <w:rsid w:val="001B2E18"/>
    <w:rsid w:val="002019C9"/>
    <w:rsid w:val="002051D3"/>
    <w:rsid w:val="002438AA"/>
    <w:rsid w:val="002A0329"/>
    <w:rsid w:val="002A12EA"/>
    <w:rsid w:val="002A71EA"/>
    <w:rsid w:val="002D745A"/>
    <w:rsid w:val="002F1814"/>
    <w:rsid w:val="0031251F"/>
    <w:rsid w:val="0031570C"/>
    <w:rsid w:val="003959A1"/>
    <w:rsid w:val="003D5C89"/>
    <w:rsid w:val="003E6F09"/>
    <w:rsid w:val="00420918"/>
    <w:rsid w:val="00423D37"/>
    <w:rsid w:val="00430E77"/>
    <w:rsid w:val="0044759D"/>
    <w:rsid w:val="00467E61"/>
    <w:rsid w:val="00482C2C"/>
    <w:rsid w:val="004863EC"/>
    <w:rsid w:val="00491EB0"/>
    <w:rsid w:val="004B34B4"/>
    <w:rsid w:val="004B6696"/>
    <w:rsid w:val="004D47D9"/>
    <w:rsid w:val="004D6D3C"/>
    <w:rsid w:val="00540422"/>
    <w:rsid w:val="00577970"/>
    <w:rsid w:val="00586ACA"/>
    <w:rsid w:val="005F71C8"/>
    <w:rsid w:val="0060175D"/>
    <w:rsid w:val="0063151B"/>
    <w:rsid w:val="0064724F"/>
    <w:rsid w:val="0066324F"/>
    <w:rsid w:val="00675DDD"/>
    <w:rsid w:val="006A12EF"/>
    <w:rsid w:val="006D62C3"/>
    <w:rsid w:val="006E0672"/>
    <w:rsid w:val="00720161"/>
    <w:rsid w:val="00733891"/>
    <w:rsid w:val="007419F0"/>
    <w:rsid w:val="00743AB4"/>
    <w:rsid w:val="007B7A0D"/>
    <w:rsid w:val="007D7A37"/>
    <w:rsid w:val="007F54F5"/>
    <w:rsid w:val="00807AB7"/>
    <w:rsid w:val="00816561"/>
    <w:rsid w:val="00827057"/>
    <w:rsid w:val="008562DC"/>
    <w:rsid w:val="0086378F"/>
    <w:rsid w:val="00880030"/>
    <w:rsid w:val="00892EB6"/>
    <w:rsid w:val="00894331"/>
    <w:rsid w:val="008C5110"/>
    <w:rsid w:val="009344EC"/>
    <w:rsid w:val="00946181"/>
    <w:rsid w:val="009519F8"/>
    <w:rsid w:val="009664FB"/>
    <w:rsid w:val="00972B2E"/>
    <w:rsid w:val="00987F58"/>
    <w:rsid w:val="009B3DB1"/>
    <w:rsid w:val="009C00E0"/>
    <w:rsid w:val="00A46A39"/>
    <w:rsid w:val="00AC224E"/>
    <w:rsid w:val="00B25FB0"/>
    <w:rsid w:val="00B35B4C"/>
    <w:rsid w:val="00B36333"/>
    <w:rsid w:val="00B51C9C"/>
    <w:rsid w:val="00B64D4D"/>
    <w:rsid w:val="00B82839"/>
    <w:rsid w:val="00BB2DBA"/>
    <w:rsid w:val="00BB795F"/>
    <w:rsid w:val="00C36D3B"/>
    <w:rsid w:val="00C516D8"/>
    <w:rsid w:val="00C6534D"/>
    <w:rsid w:val="00C75E2C"/>
    <w:rsid w:val="00CA0990"/>
    <w:rsid w:val="00CC2038"/>
    <w:rsid w:val="00CD139B"/>
    <w:rsid w:val="00CD1CE2"/>
    <w:rsid w:val="00CD64CC"/>
    <w:rsid w:val="00CE26AE"/>
    <w:rsid w:val="00CF55B5"/>
    <w:rsid w:val="00D00D85"/>
    <w:rsid w:val="00D1121C"/>
    <w:rsid w:val="00DA5CBC"/>
    <w:rsid w:val="00DB34FA"/>
    <w:rsid w:val="00DD3DBA"/>
    <w:rsid w:val="00E53347"/>
    <w:rsid w:val="00E61AB9"/>
    <w:rsid w:val="00E973B6"/>
    <w:rsid w:val="00EA770A"/>
    <w:rsid w:val="00EB10AE"/>
    <w:rsid w:val="00EC4C76"/>
    <w:rsid w:val="00EC518D"/>
    <w:rsid w:val="00EF390A"/>
    <w:rsid w:val="00EF63EC"/>
    <w:rsid w:val="00F0322A"/>
    <w:rsid w:val="00F5551F"/>
    <w:rsid w:val="00F56CBB"/>
    <w:rsid w:val="00F848CF"/>
    <w:rsid w:val="00FB1767"/>
    <w:rsid w:val="00FB6B06"/>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2065">
      <w:bodyDiv w:val="1"/>
      <w:marLeft w:val="0"/>
      <w:marRight w:val="0"/>
      <w:marTop w:val="0"/>
      <w:marBottom w:val="0"/>
      <w:divBdr>
        <w:top w:val="none" w:sz="0" w:space="0" w:color="auto"/>
        <w:left w:val="none" w:sz="0" w:space="0" w:color="auto"/>
        <w:bottom w:val="none" w:sz="0" w:space="0" w:color="auto"/>
        <w:right w:val="none" w:sz="0" w:space="0" w:color="auto"/>
      </w:divBdr>
    </w:div>
    <w:div w:id="4975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ikumi.lv/doc.php?id=284839&amp;version_date=20.09.2016" TargetMode="External"/><Relationship Id="rId4" Type="http://schemas.microsoft.com/office/2007/relationships/stylesWithEffects" Target="stylesWithEffects.xml"/><Relationship Id="rId9" Type="http://schemas.openxmlformats.org/officeDocument/2006/relationships/hyperlink" Target="http://likumi.lv/doc.php?id=284839&amp;version_date=20.09.2016"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B3BF-16A0-469B-B96F-5D4F4268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1581</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Žanna Memena</cp:lastModifiedBy>
  <cp:revision>4</cp:revision>
  <cp:lastPrinted>2017-05-02T05:04:00Z</cp:lastPrinted>
  <dcterms:created xsi:type="dcterms:W3CDTF">2017-04-25T14:46:00Z</dcterms:created>
  <dcterms:modified xsi:type="dcterms:W3CDTF">2017-05-02T05:20:00Z</dcterms:modified>
</cp:coreProperties>
</file>